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5F" w:rsidRDefault="00213113" w:rsidP="00922A3F">
      <w:pPr>
        <w:rPr>
          <w:rFonts w:ascii="Arial" w:hAnsi="Arial" w:cs="Arial"/>
          <w:b/>
          <w:noProof/>
        </w:rPr>
      </w:pPr>
      <w:r>
        <w:rPr>
          <w:rFonts w:ascii="Arial" w:hAnsi="Arial" w:cs="Arial"/>
          <w:b/>
          <w:noProof/>
        </w:rPr>
        <w:t>AGENDA ITEM 4</w:t>
      </w:r>
      <w:r w:rsidR="007C53C8">
        <w:rPr>
          <w:rFonts w:ascii="Arial" w:hAnsi="Arial" w:cs="Arial"/>
          <w:b/>
          <w:noProof/>
        </w:rPr>
        <w:t xml:space="preserve">: </w:t>
      </w:r>
      <w:r w:rsidR="005D3181">
        <w:rPr>
          <w:rFonts w:ascii="Arial" w:hAnsi="Arial" w:cs="Arial"/>
          <w:b/>
          <w:noProof/>
        </w:rPr>
        <w:t>REVIEW OF PLANNING DECISIONS MADE IN 2018/19 RELATING TO PLANNING APPLICATIONS THAT THE COTSWOLDS CONSERVATION BOARD OBJECTED TO</w:t>
      </w:r>
    </w:p>
    <w:p w:rsidR="009620D9" w:rsidRDefault="009620D9" w:rsidP="009620D9">
      <w:pPr>
        <w:rPr>
          <w:rFonts w:ascii="Arial" w:hAnsi="Arial" w:cs="Arial"/>
        </w:rPr>
      </w:pPr>
    </w:p>
    <w:p w:rsidR="00EC3218" w:rsidRDefault="00EC3218">
      <w:pPr>
        <w:rPr>
          <w:rFonts w:ascii="Arial" w:hAnsi="Arial" w:cs="Arial"/>
          <w:b/>
        </w:rPr>
      </w:pPr>
      <w:r>
        <w:rPr>
          <w:rFonts w:ascii="Arial" w:hAnsi="Arial" w:cs="Arial"/>
          <w:b/>
        </w:rPr>
        <w:t>Introduction</w:t>
      </w:r>
    </w:p>
    <w:p w:rsidR="000C5BC3" w:rsidRPr="00E222EE" w:rsidRDefault="000C5BC3" w:rsidP="000C5BC3">
      <w:pPr>
        <w:rPr>
          <w:rFonts w:ascii="Arial" w:hAnsi="Arial" w:cs="Arial"/>
        </w:rPr>
      </w:pPr>
    </w:p>
    <w:p w:rsidR="005F278D" w:rsidRDefault="005D3181" w:rsidP="00825B9F">
      <w:pPr>
        <w:pStyle w:val="ListParagraph"/>
        <w:numPr>
          <w:ilvl w:val="0"/>
          <w:numId w:val="1"/>
        </w:numPr>
        <w:ind w:hanging="720"/>
        <w:rPr>
          <w:rFonts w:ascii="Arial" w:hAnsi="Arial" w:cs="Arial"/>
        </w:rPr>
      </w:pPr>
      <w:r>
        <w:rPr>
          <w:rFonts w:ascii="Arial" w:hAnsi="Arial" w:cs="Arial"/>
        </w:rPr>
        <w:t>A key aspect of the Cotswolds Conservation Board’s planning-related work is to review the success / impact of its consultation responses.  Undertaking such a review serves several purposes.  For example, it:</w:t>
      </w:r>
    </w:p>
    <w:p w:rsidR="005D3181" w:rsidRDefault="005D3181" w:rsidP="005D3181">
      <w:pPr>
        <w:pStyle w:val="ListParagraph"/>
        <w:rPr>
          <w:rFonts w:ascii="Arial" w:hAnsi="Arial" w:cs="Arial"/>
        </w:rPr>
      </w:pPr>
    </w:p>
    <w:p w:rsidR="005D3181" w:rsidRDefault="005D3181" w:rsidP="00825B9F">
      <w:pPr>
        <w:pStyle w:val="ListParagraph"/>
        <w:numPr>
          <w:ilvl w:val="0"/>
          <w:numId w:val="2"/>
        </w:numPr>
        <w:rPr>
          <w:rFonts w:ascii="Arial" w:hAnsi="Arial" w:cs="Arial"/>
        </w:rPr>
      </w:pPr>
      <w:r>
        <w:rPr>
          <w:rFonts w:ascii="Arial" w:hAnsi="Arial" w:cs="Arial"/>
        </w:rPr>
        <w:t>identifies the extent to which planning decisions are being made in-line with the Board’s recommendations;</w:t>
      </w:r>
    </w:p>
    <w:p w:rsidR="005D3181" w:rsidRPr="005D3181" w:rsidRDefault="005D3181" w:rsidP="00825B9F">
      <w:pPr>
        <w:pStyle w:val="ListParagraph"/>
        <w:numPr>
          <w:ilvl w:val="0"/>
          <w:numId w:val="2"/>
        </w:numPr>
        <w:rPr>
          <w:rFonts w:ascii="Arial" w:hAnsi="Arial" w:cs="Arial"/>
        </w:rPr>
      </w:pPr>
      <w:r>
        <w:rPr>
          <w:rFonts w:ascii="Arial" w:hAnsi="Arial" w:cs="Arial"/>
        </w:rPr>
        <w:t xml:space="preserve">provides an indication of the extent to which local authorities are </w:t>
      </w:r>
      <w:r w:rsidRPr="005D3181">
        <w:rPr>
          <w:rFonts w:ascii="Arial" w:hAnsi="Arial" w:cs="Arial"/>
        </w:rPr>
        <w:t xml:space="preserve">fulfilling the </w:t>
      </w:r>
      <w:r>
        <w:rPr>
          <w:rFonts w:ascii="Arial" w:hAnsi="Arial" w:cs="Arial"/>
        </w:rPr>
        <w:t xml:space="preserve">statutory </w:t>
      </w:r>
      <w:r w:rsidRPr="005D3181">
        <w:rPr>
          <w:rFonts w:ascii="Arial" w:hAnsi="Arial" w:cs="Arial"/>
        </w:rPr>
        <w:t>‘duty of regard’ (under Section 85 of the Countryside and Rights of Way Act 2000)</w:t>
      </w:r>
    </w:p>
    <w:p w:rsidR="005D3181" w:rsidRDefault="005D3181" w:rsidP="00825B9F">
      <w:pPr>
        <w:pStyle w:val="ListParagraph"/>
        <w:numPr>
          <w:ilvl w:val="0"/>
          <w:numId w:val="2"/>
        </w:numPr>
        <w:rPr>
          <w:rFonts w:ascii="Arial" w:hAnsi="Arial" w:cs="Arial"/>
        </w:rPr>
      </w:pPr>
      <w:r>
        <w:rPr>
          <w:rFonts w:ascii="Arial" w:hAnsi="Arial" w:cs="Arial"/>
        </w:rPr>
        <w:t>helps to ascertain if it was appropriate</w:t>
      </w:r>
      <w:r w:rsidR="004555BF">
        <w:rPr>
          <w:rFonts w:ascii="Arial" w:hAnsi="Arial" w:cs="Arial"/>
        </w:rPr>
        <w:t xml:space="preserve"> – or necessary -</w:t>
      </w:r>
      <w:r>
        <w:rPr>
          <w:rFonts w:ascii="Arial" w:hAnsi="Arial" w:cs="Arial"/>
        </w:rPr>
        <w:t xml:space="preserve"> for the Board to comment on or, more specifically, object to, the individual planning applications;</w:t>
      </w:r>
    </w:p>
    <w:p w:rsidR="005D3181" w:rsidRPr="004555BF" w:rsidRDefault="005D3181" w:rsidP="00825B9F">
      <w:pPr>
        <w:pStyle w:val="ListParagraph"/>
        <w:numPr>
          <w:ilvl w:val="0"/>
          <w:numId w:val="2"/>
        </w:numPr>
        <w:rPr>
          <w:rFonts w:ascii="Arial" w:hAnsi="Arial" w:cs="Arial"/>
        </w:rPr>
      </w:pPr>
      <w:r>
        <w:rPr>
          <w:rFonts w:ascii="Arial" w:hAnsi="Arial" w:cs="Arial"/>
        </w:rPr>
        <w:t xml:space="preserve">helps to clarify and refine the type and scale of planning applications that the Board should </w:t>
      </w:r>
      <w:r w:rsidR="004555BF">
        <w:rPr>
          <w:rFonts w:ascii="Arial" w:hAnsi="Arial" w:cs="Arial"/>
        </w:rPr>
        <w:t>be commenting on, thereby helping to ensure that the Board stays focussed on the most significant – and highest priority - applications.</w:t>
      </w:r>
    </w:p>
    <w:p w:rsidR="005D3181" w:rsidRPr="005D3181" w:rsidRDefault="005D3181" w:rsidP="005D3181">
      <w:pPr>
        <w:rPr>
          <w:rFonts w:ascii="Arial" w:hAnsi="Arial" w:cs="Arial"/>
        </w:rPr>
      </w:pPr>
    </w:p>
    <w:p w:rsidR="005D3181" w:rsidRPr="00C361EE" w:rsidRDefault="004555BF" w:rsidP="00825B9F">
      <w:pPr>
        <w:pStyle w:val="ListParagraph"/>
        <w:numPr>
          <w:ilvl w:val="0"/>
          <w:numId w:val="1"/>
        </w:numPr>
        <w:ind w:hanging="720"/>
        <w:rPr>
          <w:rFonts w:ascii="Arial" w:hAnsi="Arial" w:cs="Arial"/>
        </w:rPr>
      </w:pPr>
      <w:r>
        <w:rPr>
          <w:rFonts w:ascii="Arial" w:hAnsi="Arial" w:cs="Arial"/>
        </w:rPr>
        <w:t>This review assesses the planning decisions that were made in 2018/19 relating to planning appl</w:t>
      </w:r>
      <w:r w:rsidR="00011B0A">
        <w:rPr>
          <w:rFonts w:ascii="Arial" w:hAnsi="Arial" w:cs="Arial"/>
        </w:rPr>
        <w:t>ications that the Board had objected to</w:t>
      </w:r>
      <w:r>
        <w:rPr>
          <w:rFonts w:ascii="Arial" w:hAnsi="Arial" w:cs="Arial"/>
        </w:rPr>
        <w:t>.</w:t>
      </w:r>
      <w:r w:rsidR="00011B0A">
        <w:rPr>
          <w:rFonts w:ascii="Arial" w:hAnsi="Arial" w:cs="Arial"/>
        </w:rPr>
        <w:t xml:space="preserve">  In 2018/29, planning decisions were made on seven such planning applications.</w:t>
      </w:r>
    </w:p>
    <w:p w:rsidR="00EC3218" w:rsidRDefault="00EC3218" w:rsidP="00EC3218">
      <w:pPr>
        <w:rPr>
          <w:rFonts w:ascii="Arial" w:hAnsi="Arial" w:cs="Arial"/>
        </w:rPr>
      </w:pPr>
    </w:p>
    <w:p w:rsidR="00EC3218" w:rsidRPr="002E14A7" w:rsidRDefault="004555BF" w:rsidP="00EC3218">
      <w:pPr>
        <w:rPr>
          <w:rFonts w:ascii="Arial" w:hAnsi="Arial" w:cs="Arial"/>
          <w:b/>
        </w:rPr>
      </w:pPr>
      <w:r>
        <w:rPr>
          <w:rFonts w:ascii="Arial" w:hAnsi="Arial" w:cs="Arial"/>
          <w:b/>
        </w:rPr>
        <w:t>Review methodology</w:t>
      </w:r>
    </w:p>
    <w:p w:rsidR="00EC3218" w:rsidRPr="00EC3218" w:rsidRDefault="00EC3218" w:rsidP="00EC3218">
      <w:pPr>
        <w:rPr>
          <w:rFonts w:ascii="Arial" w:hAnsi="Arial" w:cs="Arial"/>
        </w:rPr>
      </w:pPr>
    </w:p>
    <w:p w:rsidR="00E37691" w:rsidRPr="00011B0A" w:rsidRDefault="004555BF" w:rsidP="00011B0A">
      <w:pPr>
        <w:pStyle w:val="ListParagraph"/>
        <w:numPr>
          <w:ilvl w:val="0"/>
          <w:numId w:val="1"/>
        </w:numPr>
        <w:ind w:hanging="720"/>
        <w:rPr>
          <w:rFonts w:ascii="Arial" w:hAnsi="Arial" w:cs="Arial"/>
        </w:rPr>
      </w:pPr>
      <w:r>
        <w:rPr>
          <w:rFonts w:ascii="Arial" w:hAnsi="Arial" w:cs="Arial"/>
        </w:rPr>
        <w:t xml:space="preserve">For each of the </w:t>
      </w:r>
      <w:r w:rsidR="00011B0A">
        <w:rPr>
          <w:rFonts w:ascii="Arial" w:hAnsi="Arial" w:cs="Arial"/>
        </w:rPr>
        <w:t xml:space="preserve">seven </w:t>
      </w:r>
      <w:r>
        <w:rPr>
          <w:rFonts w:ascii="Arial" w:hAnsi="Arial" w:cs="Arial"/>
        </w:rPr>
        <w:t xml:space="preserve">relevant planning applications, </w:t>
      </w:r>
      <w:r w:rsidR="000C644D">
        <w:rPr>
          <w:rFonts w:ascii="Arial" w:hAnsi="Arial" w:cs="Arial"/>
        </w:rPr>
        <w:t>the starting point was to identify if the planning decision was in-line with the Board’s recommendations.</w:t>
      </w:r>
      <w:r w:rsidR="0091779B">
        <w:rPr>
          <w:rFonts w:ascii="Arial" w:hAnsi="Arial" w:cs="Arial"/>
        </w:rPr>
        <w:t xml:space="preserve"> </w:t>
      </w:r>
      <w:r w:rsidR="000C644D" w:rsidRPr="00011B0A">
        <w:rPr>
          <w:rFonts w:ascii="Arial" w:hAnsi="Arial" w:cs="Arial"/>
        </w:rPr>
        <w:t>A</w:t>
      </w:r>
      <w:r w:rsidRPr="00011B0A">
        <w:rPr>
          <w:rFonts w:ascii="Arial" w:hAnsi="Arial" w:cs="Arial"/>
        </w:rPr>
        <w:t xml:space="preserve"> review was </w:t>
      </w:r>
      <w:r w:rsidR="00011B0A">
        <w:rPr>
          <w:rFonts w:ascii="Arial" w:hAnsi="Arial" w:cs="Arial"/>
        </w:rPr>
        <w:t>then undertaken</w:t>
      </w:r>
      <w:r w:rsidRPr="00011B0A">
        <w:rPr>
          <w:rFonts w:ascii="Arial" w:hAnsi="Arial" w:cs="Arial"/>
        </w:rPr>
        <w:t xml:space="preserve"> of the case officer’s report and the decision notice</w:t>
      </w:r>
      <w:r w:rsidR="00011B0A" w:rsidRPr="00011B0A">
        <w:rPr>
          <w:rFonts w:ascii="Arial" w:hAnsi="Arial" w:cs="Arial"/>
        </w:rPr>
        <w:t xml:space="preserve"> for each of the planning applications</w:t>
      </w:r>
      <w:r w:rsidRPr="00011B0A">
        <w:rPr>
          <w:rFonts w:ascii="Arial" w:hAnsi="Arial" w:cs="Arial"/>
        </w:rPr>
        <w:t xml:space="preserve">. </w:t>
      </w:r>
      <w:r w:rsidR="00011B0A" w:rsidRPr="00011B0A">
        <w:rPr>
          <w:rFonts w:ascii="Arial" w:hAnsi="Arial" w:cs="Arial"/>
        </w:rPr>
        <w:t xml:space="preserve">The criteria that were considered and the extent to which </w:t>
      </w:r>
      <w:r w:rsidR="00011B0A">
        <w:rPr>
          <w:rFonts w:ascii="Arial" w:hAnsi="Arial" w:cs="Arial"/>
        </w:rPr>
        <w:t xml:space="preserve">these were identified, addressed and / or referred to are summarised in Appendix 1.  A more comprehensive spreadsheet, detailing each of the planning applications, is provided in a separate Excel spreadsheet. </w:t>
      </w:r>
    </w:p>
    <w:p w:rsidR="000C644D" w:rsidRPr="000C644D" w:rsidRDefault="000C644D" w:rsidP="000C644D">
      <w:pPr>
        <w:rPr>
          <w:rFonts w:ascii="Arial" w:hAnsi="Arial" w:cs="Arial"/>
        </w:rPr>
      </w:pPr>
    </w:p>
    <w:p w:rsidR="004555BF" w:rsidRPr="00011B0A" w:rsidRDefault="00011B0A" w:rsidP="00011B0A">
      <w:pPr>
        <w:rPr>
          <w:rFonts w:ascii="Arial" w:hAnsi="Arial" w:cs="Arial"/>
          <w:b/>
        </w:rPr>
      </w:pPr>
      <w:r w:rsidRPr="00011B0A">
        <w:rPr>
          <w:rFonts w:ascii="Arial" w:hAnsi="Arial" w:cs="Arial"/>
          <w:b/>
        </w:rPr>
        <w:t>Results</w:t>
      </w:r>
    </w:p>
    <w:p w:rsidR="00011B0A" w:rsidRPr="00011B0A" w:rsidRDefault="00011B0A" w:rsidP="00011B0A">
      <w:pPr>
        <w:rPr>
          <w:rFonts w:ascii="Arial" w:hAnsi="Arial" w:cs="Arial"/>
        </w:rPr>
      </w:pPr>
    </w:p>
    <w:p w:rsidR="004B4D5A" w:rsidRDefault="00011B0A" w:rsidP="00825B9F">
      <w:pPr>
        <w:pStyle w:val="ListParagraph"/>
        <w:numPr>
          <w:ilvl w:val="0"/>
          <w:numId w:val="1"/>
        </w:numPr>
        <w:ind w:hanging="720"/>
        <w:rPr>
          <w:rFonts w:ascii="Arial" w:hAnsi="Arial" w:cs="Arial"/>
        </w:rPr>
      </w:pPr>
      <w:r>
        <w:rPr>
          <w:rFonts w:ascii="Arial" w:hAnsi="Arial" w:cs="Arial"/>
        </w:rPr>
        <w:t>Unfortunately, the planning decisions were in-line with the Board’s recommendations for only one out of the seven relevant planning applications (14%)</w:t>
      </w:r>
      <w:r w:rsidR="00C361EE">
        <w:rPr>
          <w:rFonts w:ascii="Arial" w:hAnsi="Arial" w:cs="Arial"/>
        </w:rPr>
        <w:t>.</w:t>
      </w:r>
    </w:p>
    <w:p w:rsidR="00011B0A" w:rsidRDefault="00011B0A" w:rsidP="00011B0A">
      <w:pPr>
        <w:pStyle w:val="ListParagraph"/>
        <w:rPr>
          <w:rFonts w:ascii="Arial" w:hAnsi="Arial" w:cs="Arial"/>
        </w:rPr>
      </w:pPr>
    </w:p>
    <w:p w:rsidR="00011B0A" w:rsidRDefault="00011B0A" w:rsidP="00825B9F">
      <w:pPr>
        <w:pStyle w:val="ListParagraph"/>
        <w:numPr>
          <w:ilvl w:val="0"/>
          <w:numId w:val="1"/>
        </w:numPr>
        <w:ind w:hanging="720"/>
        <w:rPr>
          <w:rFonts w:ascii="Arial" w:hAnsi="Arial" w:cs="Arial"/>
        </w:rPr>
      </w:pPr>
      <w:r>
        <w:rPr>
          <w:rFonts w:ascii="Arial" w:hAnsi="Arial" w:cs="Arial"/>
        </w:rPr>
        <w:t>Positive points from the assessment include:</w:t>
      </w:r>
    </w:p>
    <w:p w:rsidR="00011B0A" w:rsidRPr="00011B0A" w:rsidRDefault="00011B0A" w:rsidP="00011B0A">
      <w:pPr>
        <w:pStyle w:val="ListParagraph"/>
        <w:rPr>
          <w:rFonts w:ascii="Arial" w:hAnsi="Arial" w:cs="Arial"/>
        </w:rPr>
      </w:pPr>
    </w:p>
    <w:p w:rsidR="00011B0A" w:rsidRDefault="009A23DA" w:rsidP="00011B0A">
      <w:pPr>
        <w:pStyle w:val="ListParagraph"/>
        <w:numPr>
          <w:ilvl w:val="0"/>
          <w:numId w:val="5"/>
        </w:numPr>
        <w:rPr>
          <w:rFonts w:ascii="Arial" w:hAnsi="Arial" w:cs="Arial"/>
        </w:rPr>
      </w:pPr>
      <w:r>
        <w:rPr>
          <w:rFonts w:ascii="Arial" w:hAnsi="Arial" w:cs="Arial"/>
        </w:rPr>
        <w:t>100%</w:t>
      </w:r>
      <w:r w:rsidR="001D388C">
        <w:rPr>
          <w:rFonts w:ascii="Arial" w:hAnsi="Arial" w:cs="Arial"/>
        </w:rPr>
        <w:t xml:space="preserve"> of the officer’s reports and / or decision notices identified that the proposed development was located in the Cotswolds AONB;</w:t>
      </w:r>
    </w:p>
    <w:p w:rsidR="001D388C" w:rsidRDefault="001D388C" w:rsidP="00011B0A">
      <w:pPr>
        <w:pStyle w:val="ListParagraph"/>
        <w:numPr>
          <w:ilvl w:val="0"/>
          <w:numId w:val="5"/>
        </w:numPr>
        <w:rPr>
          <w:rFonts w:ascii="Arial" w:hAnsi="Arial" w:cs="Arial"/>
        </w:rPr>
      </w:pPr>
      <w:r>
        <w:rPr>
          <w:rFonts w:ascii="Arial" w:hAnsi="Arial" w:cs="Arial"/>
        </w:rPr>
        <w:t xml:space="preserve">100% made reference to the fact that the Board had provided a consultation response; </w:t>
      </w:r>
    </w:p>
    <w:p w:rsidR="001D388C" w:rsidRDefault="001D388C" w:rsidP="00011B0A">
      <w:pPr>
        <w:pStyle w:val="ListParagraph"/>
        <w:numPr>
          <w:ilvl w:val="0"/>
          <w:numId w:val="5"/>
        </w:numPr>
        <w:rPr>
          <w:rFonts w:ascii="Arial" w:hAnsi="Arial" w:cs="Arial"/>
        </w:rPr>
      </w:pPr>
      <w:r>
        <w:rPr>
          <w:rFonts w:ascii="Arial" w:hAnsi="Arial" w:cs="Arial"/>
        </w:rPr>
        <w:lastRenderedPageBreak/>
        <w:t>100% made reference to the AONB (and / or Landscape Character) policy in the Local Plan;</w:t>
      </w:r>
    </w:p>
    <w:p w:rsidR="001D388C" w:rsidRDefault="001D388C" w:rsidP="00011B0A">
      <w:pPr>
        <w:pStyle w:val="ListParagraph"/>
        <w:numPr>
          <w:ilvl w:val="0"/>
          <w:numId w:val="5"/>
        </w:numPr>
        <w:rPr>
          <w:rFonts w:ascii="Arial" w:hAnsi="Arial" w:cs="Arial"/>
        </w:rPr>
      </w:pPr>
      <w:r>
        <w:rPr>
          <w:rFonts w:ascii="Arial" w:hAnsi="Arial" w:cs="Arial"/>
        </w:rPr>
        <w:t>100% made reference to National Planning Policy Framework (NPPF) statements that :</w:t>
      </w:r>
    </w:p>
    <w:p w:rsidR="001D388C" w:rsidRDefault="001D388C" w:rsidP="001D388C">
      <w:pPr>
        <w:pStyle w:val="ListParagraph"/>
        <w:numPr>
          <w:ilvl w:val="1"/>
          <w:numId w:val="5"/>
        </w:numPr>
        <w:rPr>
          <w:rFonts w:ascii="Arial" w:hAnsi="Arial" w:cs="Arial"/>
        </w:rPr>
      </w:pPr>
      <w:r>
        <w:rPr>
          <w:rFonts w:ascii="Arial" w:hAnsi="Arial" w:cs="Arial"/>
        </w:rPr>
        <w:t>great weight should be given to conserving and enhancing landscape and scenic beauty in AONBs;</w:t>
      </w:r>
    </w:p>
    <w:p w:rsidR="001D388C" w:rsidRDefault="001D388C" w:rsidP="001D388C">
      <w:pPr>
        <w:pStyle w:val="ListParagraph"/>
        <w:numPr>
          <w:ilvl w:val="1"/>
          <w:numId w:val="5"/>
        </w:numPr>
        <w:rPr>
          <w:rFonts w:ascii="Arial" w:hAnsi="Arial" w:cs="Arial"/>
        </w:rPr>
      </w:pPr>
      <w:r>
        <w:rPr>
          <w:rFonts w:ascii="Arial" w:hAnsi="Arial" w:cs="Arial"/>
        </w:rPr>
        <w:t>AONBs have the highest status of protection in relation to conserving and enhancing landscape and scenic beauty.</w:t>
      </w:r>
    </w:p>
    <w:p w:rsidR="001D388C" w:rsidRPr="001D388C" w:rsidRDefault="001D388C" w:rsidP="001D388C">
      <w:pPr>
        <w:pStyle w:val="ListParagraph"/>
        <w:numPr>
          <w:ilvl w:val="0"/>
          <w:numId w:val="5"/>
        </w:numPr>
        <w:rPr>
          <w:rFonts w:ascii="Arial" w:hAnsi="Arial" w:cs="Arial"/>
        </w:rPr>
      </w:pPr>
      <w:r>
        <w:rPr>
          <w:rFonts w:ascii="Arial" w:hAnsi="Arial" w:cs="Arial"/>
        </w:rPr>
        <w:t>86% recognised the AONB as a constraint and / or as a main issue;</w:t>
      </w:r>
    </w:p>
    <w:p w:rsidR="00011B0A" w:rsidRPr="00011B0A" w:rsidRDefault="00011B0A" w:rsidP="00011B0A">
      <w:pPr>
        <w:pStyle w:val="ListParagraph"/>
        <w:rPr>
          <w:rFonts w:ascii="Arial" w:hAnsi="Arial" w:cs="Arial"/>
        </w:rPr>
      </w:pPr>
    </w:p>
    <w:p w:rsidR="00DE46E1" w:rsidRDefault="00DE46E1" w:rsidP="00825B9F">
      <w:pPr>
        <w:pStyle w:val="ListParagraph"/>
        <w:numPr>
          <w:ilvl w:val="0"/>
          <w:numId w:val="1"/>
        </w:numPr>
        <w:ind w:hanging="720"/>
        <w:rPr>
          <w:rFonts w:ascii="Arial" w:hAnsi="Arial" w:cs="Arial"/>
        </w:rPr>
      </w:pPr>
      <w:r>
        <w:rPr>
          <w:rFonts w:ascii="Arial" w:hAnsi="Arial" w:cs="Arial"/>
        </w:rPr>
        <w:t xml:space="preserve">Only 71% referred to the Cotswolds AONB Management Plan and only 57% referred to other guidance published by the Board.  Where other Board guidance was referred to, this mainly related to the Cotswolds AONB Landscape Character Assessment.  Very little reference was made to the Cotswolds AONB Landscape Strategy and Guidelines, Position Statements or </w:t>
      </w:r>
      <w:r w:rsidR="003009AB">
        <w:rPr>
          <w:rFonts w:ascii="Arial" w:hAnsi="Arial" w:cs="Arial"/>
        </w:rPr>
        <w:t xml:space="preserve">other </w:t>
      </w:r>
      <w:r>
        <w:rPr>
          <w:rFonts w:ascii="Arial" w:hAnsi="Arial" w:cs="Arial"/>
        </w:rPr>
        <w:t>Board guidance.</w:t>
      </w:r>
    </w:p>
    <w:p w:rsidR="00DE46E1" w:rsidRDefault="00DE46E1" w:rsidP="00DE46E1">
      <w:pPr>
        <w:pStyle w:val="ListParagraph"/>
        <w:rPr>
          <w:rFonts w:ascii="Arial" w:hAnsi="Arial" w:cs="Arial"/>
        </w:rPr>
      </w:pPr>
    </w:p>
    <w:p w:rsidR="00011B0A" w:rsidRDefault="001D388C" w:rsidP="00825B9F">
      <w:pPr>
        <w:pStyle w:val="ListParagraph"/>
        <w:numPr>
          <w:ilvl w:val="0"/>
          <w:numId w:val="1"/>
        </w:numPr>
        <w:ind w:hanging="720"/>
        <w:rPr>
          <w:rFonts w:ascii="Arial" w:hAnsi="Arial" w:cs="Arial"/>
        </w:rPr>
      </w:pPr>
      <w:r>
        <w:rPr>
          <w:rFonts w:ascii="Arial" w:hAnsi="Arial" w:cs="Arial"/>
        </w:rPr>
        <w:t>Only a minority addressed, or made reference to</w:t>
      </w:r>
      <w:r w:rsidR="00DE46E1">
        <w:rPr>
          <w:rFonts w:ascii="Arial" w:hAnsi="Arial" w:cs="Arial"/>
        </w:rPr>
        <w:t>,</w:t>
      </w:r>
      <w:r>
        <w:rPr>
          <w:rFonts w:ascii="Arial" w:hAnsi="Arial" w:cs="Arial"/>
        </w:rPr>
        <w:t xml:space="preserve"> the:</w:t>
      </w:r>
    </w:p>
    <w:p w:rsidR="001D388C" w:rsidRDefault="001D388C" w:rsidP="001D388C">
      <w:pPr>
        <w:pStyle w:val="ListParagraph"/>
        <w:rPr>
          <w:rFonts w:ascii="Arial" w:hAnsi="Arial" w:cs="Arial"/>
        </w:rPr>
      </w:pPr>
    </w:p>
    <w:p w:rsidR="001D388C" w:rsidRDefault="001D388C" w:rsidP="001D388C">
      <w:pPr>
        <w:pStyle w:val="ListParagraph"/>
        <w:numPr>
          <w:ilvl w:val="0"/>
          <w:numId w:val="6"/>
        </w:numPr>
        <w:rPr>
          <w:rFonts w:ascii="Arial" w:hAnsi="Arial" w:cs="Arial"/>
        </w:rPr>
      </w:pPr>
      <w:r>
        <w:rPr>
          <w:rFonts w:ascii="Arial" w:hAnsi="Arial" w:cs="Arial"/>
        </w:rPr>
        <w:t>purpose of AONB designation (29%);</w:t>
      </w:r>
    </w:p>
    <w:p w:rsidR="00DE46E1" w:rsidRPr="00DE46E1" w:rsidRDefault="001D388C" w:rsidP="00DE46E1">
      <w:pPr>
        <w:pStyle w:val="ListParagraph"/>
        <w:numPr>
          <w:ilvl w:val="0"/>
          <w:numId w:val="6"/>
        </w:numPr>
        <w:rPr>
          <w:rFonts w:ascii="Arial" w:hAnsi="Arial" w:cs="Arial"/>
        </w:rPr>
      </w:pPr>
      <w:r>
        <w:rPr>
          <w:rFonts w:ascii="Arial" w:hAnsi="Arial" w:cs="Arial"/>
        </w:rPr>
        <w:t>‘duty of regard’ (Section 85 of the Countryside and Rights of Wa</w:t>
      </w:r>
      <w:r w:rsidR="00DE46E1">
        <w:rPr>
          <w:rFonts w:ascii="Arial" w:hAnsi="Arial" w:cs="Arial"/>
        </w:rPr>
        <w:t>y (CRoW)</w:t>
      </w:r>
      <w:r>
        <w:rPr>
          <w:rFonts w:ascii="Arial" w:hAnsi="Arial" w:cs="Arial"/>
        </w:rPr>
        <w:t xml:space="preserve"> Act 2000)</w:t>
      </w:r>
      <w:r w:rsidR="00DE46E1">
        <w:rPr>
          <w:rFonts w:ascii="Arial" w:hAnsi="Arial" w:cs="Arial"/>
        </w:rPr>
        <w:t xml:space="preserve"> (29%)</w:t>
      </w:r>
      <w:r>
        <w:rPr>
          <w:rFonts w:ascii="Arial" w:hAnsi="Arial" w:cs="Arial"/>
        </w:rPr>
        <w:t>;</w:t>
      </w:r>
    </w:p>
    <w:p w:rsidR="00DE46E1" w:rsidRDefault="00DE46E1" w:rsidP="001D388C">
      <w:pPr>
        <w:pStyle w:val="ListParagraph"/>
        <w:numPr>
          <w:ilvl w:val="0"/>
          <w:numId w:val="6"/>
        </w:numPr>
        <w:rPr>
          <w:rFonts w:ascii="Arial" w:hAnsi="Arial" w:cs="Arial"/>
        </w:rPr>
      </w:pPr>
      <w:r>
        <w:rPr>
          <w:rFonts w:ascii="Arial" w:hAnsi="Arial" w:cs="Arial"/>
        </w:rPr>
        <w:t>NPPF statement that the scale and extent of development in AONBs should be limited (29%);</w:t>
      </w:r>
    </w:p>
    <w:p w:rsidR="00DE46E1" w:rsidRPr="00DE46E1" w:rsidRDefault="00DE46E1" w:rsidP="00DE46E1">
      <w:pPr>
        <w:pStyle w:val="ListParagraph"/>
        <w:numPr>
          <w:ilvl w:val="0"/>
          <w:numId w:val="6"/>
        </w:numPr>
        <w:rPr>
          <w:rFonts w:ascii="Arial" w:hAnsi="Arial" w:cs="Arial"/>
        </w:rPr>
      </w:pPr>
      <w:r>
        <w:rPr>
          <w:rFonts w:ascii="Arial" w:hAnsi="Arial" w:cs="Arial"/>
        </w:rPr>
        <w:t>AONB’s special qualities (29%).</w:t>
      </w:r>
    </w:p>
    <w:p w:rsidR="00392C67" w:rsidRDefault="00392C67" w:rsidP="00392C67">
      <w:pPr>
        <w:pStyle w:val="ListParagraph"/>
        <w:rPr>
          <w:rFonts w:ascii="Arial" w:hAnsi="Arial" w:cs="Arial"/>
        </w:rPr>
      </w:pPr>
    </w:p>
    <w:p w:rsidR="00DE46E1" w:rsidRPr="00DE46E1" w:rsidRDefault="00DE46E1" w:rsidP="00DE46E1">
      <w:pPr>
        <w:pStyle w:val="ListParagraph"/>
        <w:numPr>
          <w:ilvl w:val="0"/>
          <w:numId w:val="1"/>
        </w:numPr>
        <w:ind w:hanging="720"/>
        <w:rPr>
          <w:rFonts w:ascii="Arial" w:hAnsi="Arial" w:cs="Arial"/>
        </w:rPr>
      </w:pPr>
      <w:r w:rsidRPr="00DE46E1">
        <w:rPr>
          <w:rFonts w:ascii="Arial" w:hAnsi="Arial" w:cs="Arial"/>
        </w:rPr>
        <w:t>None addressed, or made reference to</w:t>
      </w:r>
      <w:r>
        <w:rPr>
          <w:rFonts w:ascii="Arial" w:hAnsi="Arial" w:cs="Arial"/>
        </w:rPr>
        <w:t>,</w:t>
      </w:r>
      <w:r w:rsidRPr="00DE46E1">
        <w:rPr>
          <w:rFonts w:ascii="Arial" w:hAnsi="Arial" w:cs="Arial"/>
        </w:rPr>
        <w:t xml:space="preserve"> the power of local authorities, under Section 84 of the CRoW Act,</w:t>
      </w:r>
      <w:r>
        <w:rPr>
          <w:rFonts w:ascii="Arial" w:hAnsi="Arial" w:cs="Arial"/>
        </w:rPr>
        <w:t xml:space="preserve"> ‘</w:t>
      </w:r>
      <w:r w:rsidRPr="00DE46E1">
        <w:rPr>
          <w:rFonts w:ascii="Arial" w:hAnsi="Arial" w:cs="Arial"/>
          <w:i/>
          <w:color w:val="000000"/>
          <w:shd w:val="clear" w:color="auto" w:fill="FFFFFF"/>
        </w:rPr>
        <w:t>to take all such action as appears to them expedient for the accomplishment of the purpose of conserving and enhancing the natural beauty of the area of outstanding natural beauty or so much of it as is included in their area’</w:t>
      </w:r>
      <w:r w:rsidRPr="00DE46E1">
        <w:rPr>
          <w:rFonts w:ascii="Arial" w:hAnsi="Arial" w:cs="Arial"/>
          <w:color w:val="000000"/>
          <w:shd w:val="clear" w:color="auto" w:fill="FFFFFF"/>
        </w:rPr>
        <w:t>.</w:t>
      </w:r>
    </w:p>
    <w:p w:rsidR="00DE46E1" w:rsidRDefault="00DE46E1" w:rsidP="00DE46E1">
      <w:pPr>
        <w:rPr>
          <w:rFonts w:ascii="Arial" w:hAnsi="Arial" w:cs="Arial"/>
        </w:rPr>
      </w:pPr>
    </w:p>
    <w:p w:rsidR="00DE46E1" w:rsidRPr="00DE46E1" w:rsidRDefault="00DE46E1" w:rsidP="00DE46E1">
      <w:pPr>
        <w:rPr>
          <w:rFonts w:ascii="Arial" w:hAnsi="Arial" w:cs="Arial"/>
          <w:b/>
        </w:rPr>
      </w:pPr>
      <w:r w:rsidRPr="00DE46E1">
        <w:rPr>
          <w:rFonts w:ascii="Arial" w:hAnsi="Arial" w:cs="Arial"/>
          <w:b/>
        </w:rPr>
        <w:t>Discussion</w:t>
      </w:r>
    </w:p>
    <w:p w:rsidR="00DE46E1" w:rsidRPr="00DE46E1" w:rsidRDefault="00DE46E1" w:rsidP="00DE46E1">
      <w:pPr>
        <w:rPr>
          <w:rFonts w:ascii="Arial" w:hAnsi="Arial" w:cs="Arial"/>
        </w:rPr>
      </w:pPr>
    </w:p>
    <w:p w:rsidR="00DE46E1" w:rsidRDefault="00DE46E1" w:rsidP="009C2588">
      <w:pPr>
        <w:pStyle w:val="ListParagraph"/>
        <w:numPr>
          <w:ilvl w:val="0"/>
          <w:numId w:val="1"/>
        </w:numPr>
        <w:ind w:hanging="720"/>
        <w:rPr>
          <w:rFonts w:ascii="Arial" w:hAnsi="Arial" w:cs="Arial"/>
        </w:rPr>
      </w:pPr>
      <w:r>
        <w:rPr>
          <w:rFonts w:ascii="Arial" w:hAnsi="Arial" w:cs="Arial"/>
        </w:rPr>
        <w:t xml:space="preserve">It is obviously very disappointing that so few of the planning decisions were in-line with the Board’s recommendations.  On first impressions, this seems to </w:t>
      </w:r>
      <w:r w:rsidR="009C2588">
        <w:rPr>
          <w:rFonts w:ascii="Arial" w:hAnsi="Arial" w:cs="Arial"/>
        </w:rPr>
        <w:t xml:space="preserve">indicate that </w:t>
      </w:r>
      <w:r w:rsidR="009C2588" w:rsidRPr="009C2588">
        <w:rPr>
          <w:rFonts w:ascii="Arial" w:hAnsi="Arial" w:cs="Arial"/>
        </w:rPr>
        <w:t>t</w:t>
      </w:r>
      <w:r w:rsidRPr="009C2588">
        <w:rPr>
          <w:rFonts w:ascii="Arial" w:hAnsi="Arial" w:cs="Arial"/>
        </w:rPr>
        <w:t xml:space="preserve">he local authorities are not </w:t>
      </w:r>
      <w:r w:rsidR="009C2588">
        <w:rPr>
          <w:rFonts w:ascii="Arial" w:hAnsi="Arial" w:cs="Arial"/>
        </w:rPr>
        <w:t>giving sufficient weight to the Board’s consultation or to their ‘duty of regard’.</w:t>
      </w:r>
      <w:r w:rsidR="007D7461">
        <w:rPr>
          <w:rFonts w:ascii="Arial" w:hAnsi="Arial" w:cs="Arial"/>
        </w:rPr>
        <w:t xml:space="preserve">  In some instances this might be true.</w:t>
      </w:r>
      <w:r w:rsidR="009C2588">
        <w:rPr>
          <w:rFonts w:ascii="Arial" w:hAnsi="Arial" w:cs="Arial"/>
        </w:rPr>
        <w:t xml:space="preserve">  However, </w:t>
      </w:r>
      <w:r w:rsidR="007D7461">
        <w:rPr>
          <w:rFonts w:ascii="Arial" w:hAnsi="Arial" w:cs="Arial"/>
        </w:rPr>
        <w:t>in most instance</w:t>
      </w:r>
      <w:r w:rsidR="004A1812">
        <w:rPr>
          <w:rFonts w:ascii="Arial" w:hAnsi="Arial" w:cs="Arial"/>
        </w:rPr>
        <w:t>s</w:t>
      </w:r>
      <w:r w:rsidR="007D7461">
        <w:rPr>
          <w:rFonts w:ascii="Arial" w:hAnsi="Arial" w:cs="Arial"/>
        </w:rPr>
        <w:t xml:space="preserve">, </w:t>
      </w:r>
      <w:r w:rsidR="009C2588">
        <w:rPr>
          <w:rFonts w:ascii="Arial" w:hAnsi="Arial" w:cs="Arial"/>
        </w:rPr>
        <w:t xml:space="preserve">the reality is </w:t>
      </w:r>
      <w:r w:rsidR="009C2588" w:rsidRPr="009C2588">
        <w:rPr>
          <w:rFonts w:ascii="Arial" w:hAnsi="Arial" w:cs="Arial"/>
        </w:rPr>
        <w:t xml:space="preserve">more subtle and more complex.  </w:t>
      </w:r>
      <w:r w:rsidR="007D7461">
        <w:rPr>
          <w:rFonts w:ascii="Arial" w:hAnsi="Arial" w:cs="Arial"/>
        </w:rPr>
        <w:t>Also, it is worth pointing out that, whilst local authorities should have regard to the Boards opinion, this does not oblige them to have the same opinion.</w:t>
      </w:r>
    </w:p>
    <w:p w:rsidR="009C2588" w:rsidRDefault="009C2588" w:rsidP="009C2588">
      <w:pPr>
        <w:pStyle w:val="ListParagraph"/>
        <w:rPr>
          <w:rFonts w:ascii="Arial" w:hAnsi="Arial" w:cs="Arial"/>
        </w:rPr>
      </w:pPr>
    </w:p>
    <w:p w:rsidR="009B01D8" w:rsidRDefault="009C2588" w:rsidP="009C2588">
      <w:pPr>
        <w:pStyle w:val="ListParagraph"/>
        <w:numPr>
          <w:ilvl w:val="0"/>
          <w:numId w:val="1"/>
        </w:numPr>
        <w:ind w:hanging="720"/>
        <w:rPr>
          <w:rFonts w:ascii="Arial" w:hAnsi="Arial" w:cs="Arial"/>
        </w:rPr>
      </w:pPr>
      <w:r>
        <w:rPr>
          <w:rFonts w:ascii="Arial" w:hAnsi="Arial" w:cs="Arial"/>
        </w:rPr>
        <w:t>In reviewing</w:t>
      </w:r>
      <w:r w:rsidR="007D7461">
        <w:rPr>
          <w:rFonts w:ascii="Arial" w:hAnsi="Arial" w:cs="Arial"/>
        </w:rPr>
        <w:t xml:space="preserve"> the officer’s reports and decision notices, it is apparent that considerable attention has been given to potential adverse impacts on the Cotswolds AONB.  In some cases, the view has been taken that there would not be significant adverse impacts on the AONB.  In other cases, the view has been taken that the potential benefits of the proposed development outweigh the potential benefits.  In </w:t>
      </w:r>
      <w:r w:rsidR="003E1305">
        <w:rPr>
          <w:rFonts w:ascii="Arial" w:hAnsi="Arial" w:cs="Arial"/>
        </w:rPr>
        <w:t>most</w:t>
      </w:r>
      <w:r w:rsidR="007D7461">
        <w:rPr>
          <w:rFonts w:ascii="Arial" w:hAnsi="Arial" w:cs="Arial"/>
        </w:rPr>
        <w:t xml:space="preserve"> cases, it could be said that these judgements were ‘in the balance’, requiring a significant lev</w:t>
      </w:r>
      <w:r w:rsidR="004A1812">
        <w:rPr>
          <w:rFonts w:ascii="Arial" w:hAnsi="Arial" w:cs="Arial"/>
        </w:rPr>
        <w:t>el of professional judgement, based on a good</w:t>
      </w:r>
      <w:r w:rsidR="007D7461">
        <w:rPr>
          <w:rFonts w:ascii="Arial" w:hAnsi="Arial" w:cs="Arial"/>
        </w:rPr>
        <w:t xml:space="preserve"> </w:t>
      </w:r>
      <w:r w:rsidR="004A1812">
        <w:rPr>
          <w:rFonts w:ascii="Arial" w:hAnsi="Arial" w:cs="Arial"/>
        </w:rPr>
        <w:t>understanding</w:t>
      </w:r>
      <w:r w:rsidR="007D7461">
        <w:rPr>
          <w:rFonts w:ascii="Arial" w:hAnsi="Arial" w:cs="Arial"/>
        </w:rPr>
        <w:t xml:space="preserve"> of the setting of the proposed development and the need for – and nature of – the proposed development.  </w:t>
      </w:r>
    </w:p>
    <w:p w:rsidR="009B01D8" w:rsidRPr="009B01D8" w:rsidRDefault="009B01D8" w:rsidP="009B01D8">
      <w:pPr>
        <w:pStyle w:val="ListParagraph"/>
        <w:rPr>
          <w:rFonts w:ascii="Arial" w:hAnsi="Arial" w:cs="Arial"/>
        </w:rPr>
      </w:pPr>
    </w:p>
    <w:p w:rsidR="009C2588" w:rsidRDefault="009B01D8" w:rsidP="009C2588">
      <w:pPr>
        <w:pStyle w:val="ListParagraph"/>
        <w:numPr>
          <w:ilvl w:val="0"/>
          <w:numId w:val="1"/>
        </w:numPr>
        <w:ind w:hanging="720"/>
        <w:rPr>
          <w:rFonts w:ascii="Arial" w:hAnsi="Arial" w:cs="Arial"/>
        </w:rPr>
      </w:pPr>
      <w:r>
        <w:rPr>
          <w:rFonts w:ascii="Arial" w:hAnsi="Arial" w:cs="Arial"/>
        </w:rPr>
        <w:t>Whilst I would argue that the Board’s consultations responses have been strong – and continue to get stronger – from a planning policy perspective, they have not always been based on a good understanding of the site.</w:t>
      </w:r>
      <w:r w:rsidR="009C2588">
        <w:rPr>
          <w:rFonts w:ascii="Arial" w:hAnsi="Arial" w:cs="Arial"/>
        </w:rPr>
        <w:t xml:space="preserve"> </w:t>
      </w:r>
      <w:r>
        <w:rPr>
          <w:rFonts w:ascii="Arial" w:hAnsi="Arial" w:cs="Arial"/>
        </w:rPr>
        <w:t>For example, site visits were not made in all c</w:t>
      </w:r>
      <w:r w:rsidR="00F84DBB">
        <w:rPr>
          <w:rFonts w:ascii="Arial" w:hAnsi="Arial" w:cs="Arial"/>
        </w:rPr>
        <w:t>ases and</w:t>
      </w:r>
      <w:r w:rsidR="00213113">
        <w:rPr>
          <w:rFonts w:ascii="Arial" w:hAnsi="Arial" w:cs="Arial"/>
        </w:rPr>
        <w:t>,</w:t>
      </w:r>
      <w:r w:rsidR="00F84DBB">
        <w:rPr>
          <w:rFonts w:ascii="Arial" w:hAnsi="Arial" w:cs="Arial"/>
        </w:rPr>
        <w:t xml:space="preserve"> in some instances, consultation responses were compiled and submitted at a very late stage</w:t>
      </w:r>
      <w:r w:rsidR="00213113">
        <w:rPr>
          <w:rFonts w:ascii="Arial" w:hAnsi="Arial" w:cs="Arial"/>
        </w:rPr>
        <w:t xml:space="preserve"> without a full assessment of the relevant evidence-base</w:t>
      </w:r>
      <w:r w:rsidR="00F84DBB">
        <w:rPr>
          <w:rFonts w:ascii="Arial" w:hAnsi="Arial" w:cs="Arial"/>
        </w:rPr>
        <w:t>.</w:t>
      </w:r>
    </w:p>
    <w:p w:rsidR="004A1812" w:rsidRPr="004A1812" w:rsidRDefault="004A1812" w:rsidP="004A1812">
      <w:pPr>
        <w:pStyle w:val="ListParagraph"/>
        <w:rPr>
          <w:rFonts w:ascii="Arial" w:hAnsi="Arial" w:cs="Arial"/>
        </w:rPr>
      </w:pPr>
    </w:p>
    <w:p w:rsidR="004A1812" w:rsidRDefault="004A1812" w:rsidP="009C2588">
      <w:pPr>
        <w:pStyle w:val="ListParagraph"/>
        <w:numPr>
          <w:ilvl w:val="0"/>
          <w:numId w:val="1"/>
        </w:numPr>
        <w:ind w:hanging="720"/>
        <w:rPr>
          <w:rFonts w:ascii="Arial" w:hAnsi="Arial" w:cs="Arial"/>
        </w:rPr>
      </w:pPr>
      <w:r>
        <w:rPr>
          <w:rFonts w:ascii="Arial" w:hAnsi="Arial" w:cs="Arial"/>
        </w:rPr>
        <w:t>In principle, the Board should only be commenting on those planning applications that have the potential to have a significant adverse effect on the Cotswolds AONB.  In some instances, the planning applications that the Board has commented on have probably not been of this level of significance (e.g. the glamping pod development at Farncombe Estate and the Hare and Hounds development).</w:t>
      </w:r>
    </w:p>
    <w:p w:rsidR="009B01D8" w:rsidRPr="009B01D8" w:rsidRDefault="009B01D8" w:rsidP="009B01D8">
      <w:pPr>
        <w:pStyle w:val="ListParagraph"/>
        <w:rPr>
          <w:rFonts w:ascii="Arial" w:hAnsi="Arial" w:cs="Arial"/>
        </w:rPr>
      </w:pPr>
    </w:p>
    <w:p w:rsidR="009B01D8" w:rsidRDefault="003E1305" w:rsidP="009C2588">
      <w:pPr>
        <w:pStyle w:val="ListParagraph"/>
        <w:numPr>
          <w:ilvl w:val="0"/>
          <w:numId w:val="1"/>
        </w:numPr>
        <w:ind w:hanging="720"/>
        <w:rPr>
          <w:rFonts w:ascii="Arial" w:hAnsi="Arial" w:cs="Arial"/>
        </w:rPr>
      </w:pPr>
      <w:r>
        <w:rPr>
          <w:rFonts w:ascii="Arial" w:hAnsi="Arial" w:cs="Arial"/>
        </w:rPr>
        <w:t>It is worth noting that, i</w:t>
      </w:r>
      <w:r w:rsidR="00213113">
        <w:rPr>
          <w:rFonts w:ascii="Arial" w:hAnsi="Arial" w:cs="Arial"/>
        </w:rPr>
        <w:t>n</w:t>
      </w:r>
      <w:r w:rsidR="005F32FB">
        <w:rPr>
          <w:rFonts w:ascii="Arial" w:hAnsi="Arial" w:cs="Arial"/>
        </w:rPr>
        <w:t xml:space="preserve"> some instances, even though the planning decision was not in-line with the Board’s recommendations, the Board’s input still influenced the </w:t>
      </w:r>
      <w:r>
        <w:rPr>
          <w:rFonts w:ascii="Arial" w:hAnsi="Arial" w:cs="Arial"/>
        </w:rPr>
        <w:t>proposal</w:t>
      </w:r>
      <w:r w:rsidR="005F32FB">
        <w:rPr>
          <w:rFonts w:ascii="Arial" w:hAnsi="Arial" w:cs="Arial"/>
        </w:rPr>
        <w:t>.  For example, on the back of the Board’s input</w:t>
      </w:r>
      <w:r w:rsidR="004A1812">
        <w:rPr>
          <w:rFonts w:ascii="Arial" w:hAnsi="Arial" w:cs="Arial"/>
        </w:rPr>
        <w:t xml:space="preserve"> into the Standish Hospital proposal</w:t>
      </w:r>
      <w:r w:rsidR="005F32FB">
        <w:rPr>
          <w:rFonts w:ascii="Arial" w:hAnsi="Arial" w:cs="Arial"/>
        </w:rPr>
        <w:t xml:space="preserve">, </w:t>
      </w:r>
      <w:r w:rsidR="004A1812">
        <w:rPr>
          <w:rFonts w:ascii="Arial" w:hAnsi="Arial" w:cs="Arial"/>
        </w:rPr>
        <w:t xml:space="preserve">the applicant was required to undertake </w:t>
      </w:r>
      <w:r w:rsidR="005F32FB">
        <w:rPr>
          <w:rFonts w:ascii="Arial" w:hAnsi="Arial" w:cs="Arial"/>
        </w:rPr>
        <w:t xml:space="preserve">further assessments </w:t>
      </w:r>
      <w:r w:rsidR="004A1812">
        <w:rPr>
          <w:rFonts w:ascii="Arial" w:hAnsi="Arial" w:cs="Arial"/>
        </w:rPr>
        <w:t>to refine and justify the proposal.</w:t>
      </w:r>
    </w:p>
    <w:p w:rsidR="004A1812" w:rsidRPr="004A1812" w:rsidRDefault="004A1812" w:rsidP="004A1812">
      <w:pPr>
        <w:pStyle w:val="ListParagraph"/>
        <w:rPr>
          <w:rFonts w:ascii="Arial" w:hAnsi="Arial" w:cs="Arial"/>
        </w:rPr>
      </w:pPr>
    </w:p>
    <w:p w:rsidR="004A1812" w:rsidRDefault="004A1812" w:rsidP="009C2588">
      <w:pPr>
        <w:pStyle w:val="ListParagraph"/>
        <w:numPr>
          <w:ilvl w:val="0"/>
          <w:numId w:val="1"/>
        </w:numPr>
        <w:ind w:hanging="720"/>
        <w:rPr>
          <w:rFonts w:ascii="Arial" w:hAnsi="Arial" w:cs="Arial"/>
        </w:rPr>
      </w:pPr>
      <w:r>
        <w:rPr>
          <w:rFonts w:ascii="Arial" w:hAnsi="Arial" w:cs="Arial"/>
        </w:rPr>
        <w:t xml:space="preserve">Finally, </w:t>
      </w:r>
      <w:r w:rsidR="00213113">
        <w:rPr>
          <w:rFonts w:ascii="Arial" w:hAnsi="Arial" w:cs="Arial"/>
        </w:rPr>
        <w:t xml:space="preserve">it is worth noting that </w:t>
      </w:r>
      <w:r>
        <w:rPr>
          <w:rFonts w:ascii="Arial" w:hAnsi="Arial" w:cs="Arial"/>
        </w:rPr>
        <w:t xml:space="preserve">the Planning &amp; Landscape Officer would </w:t>
      </w:r>
      <w:r w:rsidR="00213113">
        <w:rPr>
          <w:rFonts w:ascii="Arial" w:hAnsi="Arial" w:cs="Arial"/>
        </w:rPr>
        <w:t xml:space="preserve">still </w:t>
      </w:r>
      <w:r>
        <w:rPr>
          <w:rFonts w:ascii="Arial" w:hAnsi="Arial" w:cs="Arial"/>
        </w:rPr>
        <w:t>strongly disagree with</w:t>
      </w:r>
      <w:r w:rsidR="00213113">
        <w:rPr>
          <w:rFonts w:ascii="Arial" w:hAnsi="Arial" w:cs="Arial"/>
        </w:rPr>
        <w:t xml:space="preserve"> </w:t>
      </w:r>
      <w:r w:rsidR="00213113">
        <w:rPr>
          <w:rFonts w:ascii="Arial" w:hAnsi="Arial" w:cs="Arial"/>
        </w:rPr>
        <w:t xml:space="preserve">some </w:t>
      </w:r>
      <w:r w:rsidR="00213113">
        <w:rPr>
          <w:rFonts w:ascii="Arial" w:hAnsi="Arial" w:cs="Arial"/>
        </w:rPr>
        <w:t xml:space="preserve">of the </w:t>
      </w:r>
      <w:r w:rsidR="00213113">
        <w:rPr>
          <w:rFonts w:ascii="Arial" w:hAnsi="Arial" w:cs="Arial"/>
        </w:rPr>
        <w:t xml:space="preserve">planning </w:t>
      </w:r>
      <w:r w:rsidR="00213113">
        <w:rPr>
          <w:rFonts w:ascii="Arial" w:hAnsi="Arial" w:cs="Arial"/>
        </w:rPr>
        <w:t>decisions,</w:t>
      </w:r>
      <w:r>
        <w:rPr>
          <w:rFonts w:ascii="Arial" w:hAnsi="Arial" w:cs="Arial"/>
        </w:rPr>
        <w:t xml:space="preserve"> such as Cheltenham Borough Council permitting the construction of eight dwellings at </w:t>
      </w:r>
      <w:r w:rsidR="00213113">
        <w:rPr>
          <w:rFonts w:ascii="Arial" w:hAnsi="Arial" w:cs="Arial"/>
        </w:rPr>
        <w:t xml:space="preserve">Cromwell Court, Charlton Kings.  </w:t>
      </w:r>
    </w:p>
    <w:p w:rsidR="009B01D8" w:rsidRPr="009B01D8" w:rsidRDefault="009B01D8" w:rsidP="009B01D8">
      <w:pPr>
        <w:pStyle w:val="ListParagraph"/>
        <w:rPr>
          <w:rFonts w:ascii="Arial" w:hAnsi="Arial" w:cs="Arial"/>
        </w:rPr>
      </w:pPr>
    </w:p>
    <w:p w:rsidR="009B01D8" w:rsidRPr="009B01D8" w:rsidRDefault="009B01D8" w:rsidP="009B01D8">
      <w:pPr>
        <w:rPr>
          <w:rFonts w:ascii="Arial" w:hAnsi="Arial" w:cs="Arial"/>
          <w:b/>
        </w:rPr>
      </w:pPr>
      <w:r w:rsidRPr="009B01D8">
        <w:rPr>
          <w:rFonts w:ascii="Arial" w:hAnsi="Arial" w:cs="Arial"/>
          <w:b/>
        </w:rPr>
        <w:t>Recommendations</w:t>
      </w:r>
    </w:p>
    <w:p w:rsidR="007D7461" w:rsidRPr="007D7461" w:rsidRDefault="007D7461" w:rsidP="007D7461">
      <w:pPr>
        <w:rPr>
          <w:rFonts w:ascii="Arial" w:hAnsi="Arial" w:cs="Arial"/>
        </w:rPr>
      </w:pPr>
    </w:p>
    <w:p w:rsidR="00DE46E1" w:rsidRDefault="009B01D8" w:rsidP="00825B9F">
      <w:pPr>
        <w:pStyle w:val="ListParagraph"/>
        <w:numPr>
          <w:ilvl w:val="0"/>
          <w:numId w:val="1"/>
        </w:numPr>
        <w:ind w:hanging="720"/>
        <w:rPr>
          <w:rFonts w:ascii="Arial" w:hAnsi="Arial" w:cs="Arial"/>
        </w:rPr>
      </w:pPr>
      <w:r>
        <w:rPr>
          <w:rFonts w:ascii="Arial" w:hAnsi="Arial" w:cs="Arial"/>
        </w:rPr>
        <w:t>Based on this review, I would make the following recommendations (primarily for myself), with regards to responding to planning applications:</w:t>
      </w:r>
    </w:p>
    <w:p w:rsidR="009B01D8" w:rsidRDefault="009B01D8" w:rsidP="009B01D8">
      <w:pPr>
        <w:pStyle w:val="ListParagraph"/>
        <w:rPr>
          <w:rFonts w:ascii="Arial" w:hAnsi="Arial" w:cs="Arial"/>
        </w:rPr>
      </w:pPr>
    </w:p>
    <w:p w:rsidR="00F84DBB" w:rsidRDefault="009B01D8" w:rsidP="009B01D8">
      <w:pPr>
        <w:pStyle w:val="ListParagraph"/>
        <w:numPr>
          <w:ilvl w:val="0"/>
          <w:numId w:val="8"/>
        </w:numPr>
        <w:rPr>
          <w:rFonts w:ascii="Arial" w:hAnsi="Arial" w:cs="Arial"/>
        </w:rPr>
      </w:pPr>
      <w:r>
        <w:rPr>
          <w:rFonts w:ascii="Arial" w:hAnsi="Arial" w:cs="Arial"/>
        </w:rPr>
        <w:t>Focus on the planning applications that are likely to have the most significant adverse effects on the Cotswolds AONB.</w:t>
      </w:r>
      <w:r w:rsidR="00F84DBB">
        <w:rPr>
          <w:rFonts w:ascii="Arial" w:hAnsi="Arial" w:cs="Arial"/>
        </w:rPr>
        <w:t xml:space="preserve"> </w:t>
      </w:r>
    </w:p>
    <w:p w:rsidR="00F84DBB" w:rsidRDefault="00F84DBB" w:rsidP="009B01D8">
      <w:pPr>
        <w:pStyle w:val="ListParagraph"/>
        <w:numPr>
          <w:ilvl w:val="0"/>
          <w:numId w:val="8"/>
        </w:numPr>
        <w:rPr>
          <w:rFonts w:ascii="Arial" w:hAnsi="Arial" w:cs="Arial"/>
        </w:rPr>
      </w:pPr>
      <w:r>
        <w:rPr>
          <w:rFonts w:ascii="Arial" w:hAnsi="Arial" w:cs="Arial"/>
        </w:rPr>
        <w:t xml:space="preserve">Consistently apply the </w:t>
      </w:r>
      <w:r w:rsidR="005F32FB">
        <w:rPr>
          <w:rFonts w:ascii="Arial" w:hAnsi="Arial" w:cs="Arial"/>
        </w:rPr>
        <w:t xml:space="preserve">Board’s evolving </w:t>
      </w:r>
      <w:r>
        <w:rPr>
          <w:rFonts w:ascii="Arial" w:hAnsi="Arial" w:cs="Arial"/>
        </w:rPr>
        <w:t xml:space="preserve">consultation criteria to help keep focussed on </w:t>
      </w:r>
      <w:r w:rsidR="005F32FB">
        <w:rPr>
          <w:rFonts w:ascii="Arial" w:hAnsi="Arial" w:cs="Arial"/>
        </w:rPr>
        <w:t>priority consultations.</w:t>
      </w:r>
    </w:p>
    <w:p w:rsidR="009B01D8" w:rsidRDefault="00F84DBB" w:rsidP="009B01D8">
      <w:pPr>
        <w:pStyle w:val="ListParagraph"/>
        <w:numPr>
          <w:ilvl w:val="0"/>
          <w:numId w:val="8"/>
        </w:numPr>
        <w:rPr>
          <w:rFonts w:ascii="Arial" w:hAnsi="Arial" w:cs="Arial"/>
        </w:rPr>
      </w:pPr>
      <w:r>
        <w:rPr>
          <w:rFonts w:ascii="Arial" w:hAnsi="Arial" w:cs="Arial"/>
        </w:rPr>
        <w:t>P</w:t>
      </w:r>
      <w:r w:rsidR="009B01D8">
        <w:rPr>
          <w:rFonts w:ascii="Arial" w:hAnsi="Arial" w:cs="Arial"/>
        </w:rPr>
        <w:t>rovide fewer consultation responses but ensure that the ones that we do submit are comprehensive and well-informed.</w:t>
      </w:r>
    </w:p>
    <w:p w:rsidR="00F84DBB" w:rsidRDefault="009B01D8" w:rsidP="00F84DBB">
      <w:pPr>
        <w:pStyle w:val="ListParagraph"/>
        <w:numPr>
          <w:ilvl w:val="0"/>
          <w:numId w:val="8"/>
        </w:numPr>
        <w:rPr>
          <w:rFonts w:ascii="Arial" w:hAnsi="Arial" w:cs="Arial"/>
        </w:rPr>
      </w:pPr>
      <w:r>
        <w:rPr>
          <w:rFonts w:ascii="Arial" w:hAnsi="Arial" w:cs="Arial"/>
        </w:rPr>
        <w:t xml:space="preserve">Where possible, review the planning application well before the consultation </w:t>
      </w:r>
      <w:r w:rsidR="00F84DBB">
        <w:rPr>
          <w:rFonts w:ascii="Arial" w:hAnsi="Arial" w:cs="Arial"/>
        </w:rPr>
        <w:t xml:space="preserve">deadline </w:t>
      </w:r>
      <w:r>
        <w:rPr>
          <w:rFonts w:ascii="Arial" w:hAnsi="Arial" w:cs="Arial"/>
        </w:rPr>
        <w:t>and, if appropriate, liaise with the relevant case office</w:t>
      </w:r>
      <w:r w:rsidR="00F84DBB">
        <w:rPr>
          <w:rFonts w:ascii="Arial" w:hAnsi="Arial" w:cs="Arial"/>
        </w:rPr>
        <w:t>r.</w:t>
      </w:r>
    </w:p>
    <w:p w:rsidR="00F84DBB" w:rsidRPr="00F84DBB" w:rsidRDefault="00F84DBB" w:rsidP="00F84DBB">
      <w:pPr>
        <w:pStyle w:val="ListParagraph"/>
        <w:numPr>
          <w:ilvl w:val="0"/>
          <w:numId w:val="8"/>
        </w:numPr>
        <w:rPr>
          <w:rFonts w:ascii="Arial" w:hAnsi="Arial" w:cs="Arial"/>
        </w:rPr>
      </w:pPr>
      <w:r>
        <w:rPr>
          <w:rFonts w:ascii="Arial" w:hAnsi="Arial" w:cs="Arial"/>
        </w:rPr>
        <w:t>Identify which local authorities have in-house landscape expertise and, where appropriate, liaise with these officer on relevant planning applications</w:t>
      </w:r>
      <w:r w:rsidR="005F32FB">
        <w:rPr>
          <w:rFonts w:ascii="Arial" w:hAnsi="Arial" w:cs="Arial"/>
        </w:rPr>
        <w:t xml:space="preserve"> to see if the Board can provide ‘added value’</w:t>
      </w:r>
      <w:r>
        <w:rPr>
          <w:rFonts w:ascii="Arial" w:hAnsi="Arial" w:cs="Arial"/>
        </w:rPr>
        <w:t>.</w:t>
      </w:r>
    </w:p>
    <w:p w:rsidR="009B01D8" w:rsidRDefault="009B01D8" w:rsidP="009B01D8">
      <w:pPr>
        <w:pStyle w:val="ListParagraph"/>
        <w:numPr>
          <w:ilvl w:val="0"/>
          <w:numId w:val="8"/>
        </w:numPr>
        <w:rPr>
          <w:rFonts w:ascii="Arial" w:hAnsi="Arial" w:cs="Arial"/>
        </w:rPr>
      </w:pPr>
      <w:r>
        <w:rPr>
          <w:rFonts w:ascii="Arial" w:hAnsi="Arial" w:cs="Arial"/>
        </w:rPr>
        <w:t>Recognise that, in order to provide a well-informed response, it will normally be necessary to make a site visit.</w:t>
      </w:r>
    </w:p>
    <w:p w:rsidR="009B01D8" w:rsidRDefault="009B01D8" w:rsidP="009B01D8">
      <w:pPr>
        <w:pStyle w:val="ListParagraph"/>
        <w:numPr>
          <w:ilvl w:val="0"/>
          <w:numId w:val="8"/>
        </w:numPr>
        <w:rPr>
          <w:rFonts w:ascii="Arial" w:hAnsi="Arial" w:cs="Arial"/>
        </w:rPr>
      </w:pPr>
      <w:r>
        <w:rPr>
          <w:rFonts w:ascii="Arial" w:hAnsi="Arial" w:cs="Arial"/>
        </w:rPr>
        <w:t>Become more familiar with Landscape and Visual Impact Assessments (LVIAs)</w:t>
      </w:r>
      <w:r w:rsidR="003E1305">
        <w:rPr>
          <w:rFonts w:ascii="Arial" w:hAnsi="Arial" w:cs="Arial"/>
        </w:rPr>
        <w:t>,</w:t>
      </w:r>
      <w:r>
        <w:rPr>
          <w:rFonts w:ascii="Arial" w:hAnsi="Arial" w:cs="Arial"/>
        </w:rPr>
        <w:t xml:space="preserve"> including LVIA guidance and best practice.</w:t>
      </w:r>
    </w:p>
    <w:p w:rsidR="00213113" w:rsidRDefault="00213113" w:rsidP="009B01D8">
      <w:pPr>
        <w:pStyle w:val="ListParagraph"/>
        <w:numPr>
          <w:ilvl w:val="0"/>
          <w:numId w:val="8"/>
        </w:numPr>
        <w:rPr>
          <w:rFonts w:ascii="Arial" w:hAnsi="Arial" w:cs="Arial"/>
        </w:rPr>
      </w:pPr>
      <w:r>
        <w:rPr>
          <w:rFonts w:ascii="Arial" w:hAnsi="Arial" w:cs="Arial"/>
        </w:rPr>
        <w:t>Avoid using the assertion that a development would set an unwelcome precedent for the AONB</w:t>
      </w:r>
      <w:r w:rsidR="003E1305">
        <w:rPr>
          <w:rFonts w:ascii="Arial" w:hAnsi="Arial" w:cs="Arial"/>
        </w:rPr>
        <w:t>.  This is because</w:t>
      </w:r>
      <w:r>
        <w:rPr>
          <w:rFonts w:ascii="Arial" w:hAnsi="Arial" w:cs="Arial"/>
        </w:rPr>
        <w:t xml:space="preserve"> precedence is </w:t>
      </w:r>
      <w:r w:rsidR="003E1305">
        <w:rPr>
          <w:rFonts w:ascii="Arial" w:hAnsi="Arial" w:cs="Arial"/>
        </w:rPr>
        <w:t xml:space="preserve">not </w:t>
      </w:r>
      <w:r>
        <w:rPr>
          <w:rFonts w:ascii="Arial" w:hAnsi="Arial" w:cs="Arial"/>
        </w:rPr>
        <w:t>something that local authorities are required to consider</w:t>
      </w:r>
      <w:r w:rsidR="003E1305">
        <w:rPr>
          <w:rFonts w:ascii="Arial" w:hAnsi="Arial" w:cs="Arial"/>
        </w:rPr>
        <w:t xml:space="preserve"> (each planning application must be considered on its own merits)</w:t>
      </w:r>
      <w:r>
        <w:rPr>
          <w:rFonts w:ascii="Arial" w:hAnsi="Arial" w:cs="Arial"/>
        </w:rPr>
        <w:t>.  Where this is the case, use other arguments to justify objecting to the development.</w:t>
      </w:r>
    </w:p>
    <w:p w:rsidR="00F84DBB" w:rsidRDefault="00F84DBB" w:rsidP="00F84DBB">
      <w:pPr>
        <w:pStyle w:val="ListParagraph"/>
        <w:numPr>
          <w:ilvl w:val="0"/>
          <w:numId w:val="8"/>
        </w:numPr>
        <w:rPr>
          <w:rFonts w:ascii="Arial" w:hAnsi="Arial" w:cs="Arial"/>
        </w:rPr>
      </w:pPr>
      <w:r>
        <w:rPr>
          <w:rFonts w:ascii="Arial" w:hAnsi="Arial" w:cs="Arial"/>
        </w:rPr>
        <w:lastRenderedPageBreak/>
        <w:t>Continue to mainstream the practice of engaging local authority Board members to secure their support in advocating the Board’s response with key local authority contacts.</w:t>
      </w:r>
    </w:p>
    <w:p w:rsidR="00213113" w:rsidRPr="00213113" w:rsidRDefault="00F84DBB" w:rsidP="00213113">
      <w:pPr>
        <w:pStyle w:val="ListParagraph"/>
        <w:numPr>
          <w:ilvl w:val="0"/>
          <w:numId w:val="8"/>
        </w:numPr>
        <w:rPr>
          <w:rFonts w:ascii="Arial" w:hAnsi="Arial" w:cs="Arial"/>
        </w:rPr>
      </w:pPr>
      <w:r>
        <w:rPr>
          <w:rFonts w:ascii="Arial" w:hAnsi="Arial" w:cs="Arial"/>
        </w:rPr>
        <w:t>Refine the Board’s ‘standard’ responses</w:t>
      </w:r>
      <w:r w:rsidR="005F32FB">
        <w:rPr>
          <w:rFonts w:ascii="Arial" w:hAnsi="Arial" w:cs="Arial"/>
        </w:rPr>
        <w:t>.</w:t>
      </w:r>
    </w:p>
    <w:p w:rsidR="00F84DBB" w:rsidRDefault="00F84DBB" w:rsidP="00F84DBB">
      <w:pPr>
        <w:pStyle w:val="ListParagraph"/>
        <w:numPr>
          <w:ilvl w:val="0"/>
          <w:numId w:val="8"/>
        </w:numPr>
        <w:rPr>
          <w:rFonts w:ascii="Arial" w:hAnsi="Arial" w:cs="Arial"/>
        </w:rPr>
      </w:pPr>
      <w:r>
        <w:rPr>
          <w:rFonts w:ascii="Arial" w:hAnsi="Arial" w:cs="Arial"/>
        </w:rPr>
        <w:t>Where local residents or other stakeholders are putting pressure on the Board to provide a consultation response and the Board does not have capacity to respond, ‘signpost’ these stakeholders to relevant Board guidance and</w:t>
      </w:r>
      <w:r w:rsidR="003E1305">
        <w:rPr>
          <w:rFonts w:ascii="Arial" w:hAnsi="Arial" w:cs="Arial"/>
        </w:rPr>
        <w:t xml:space="preserve"> / or to the Board’s</w:t>
      </w:r>
      <w:r>
        <w:rPr>
          <w:rFonts w:ascii="Arial" w:hAnsi="Arial" w:cs="Arial"/>
        </w:rPr>
        <w:t xml:space="preserve"> standard responses.</w:t>
      </w:r>
    </w:p>
    <w:p w:rsidR="00F84DBB" w:rsidRDefault="00F84DBB" w:rsidP="00F84DBB">
      <w:pPr>
        <w:pStyle w:val="ListParagraph"/>
        <w:ind w:left="1440"/>
        <w:rPr>
          <w:rFonts w:ascii="Arial" w:hAnsi="Arial" w:cs="Arial"/>
        </w:rPr>
      </w:pPr>
    </w:p>
    <w:p w:rsidR="004A1812" w:rsidRDefault="00F84DBB" w:rsidP="004A1812">
      <w:pPr>
        <w:pStyle w:val="ListParagraph"/>
        <w:numPr>
          <w:ilvl w:val="0"/>
          <w:numId w:val="1"/>
        </w:numPr>
        <w:ind w:hanging="720"/>
        <w:rPr>
          <w:rFonts w:ascii="Arial" w:hAnsi="Arial" w:cs="Arial"/>
        </w:rPr>
      </w:pPr>
      <w:r>
        <w:rPr>
          <w:rFonts w:ascii="Arial" w:hAnsi="Arial" w:cs="Arial"/>
        </w:rPr>
        <w:t xml:space="preserve">Obviously, it should be noted that the </w:t>
      </w:r>
      <w:r w:rsidR="005F32FB">
        <w:rPr>
          <w:rFonts w:ascii="Arial" w:hAnsi="Arial" w:cs="Arial"/>
        </w:rPr>
        <w:t xml:space="preserve">capacity of the Planning and Landscape Officer to deal with individual planning applications is very limited, particularly as Local Plan consultations will normally take priority.  One option would be to look </w:t>
      </w:r>
      <w:r w:rsidR="005F32FB" w:rsidRPr="005F32FB">
        <w:rPr>
          <w:rFonts w:ascii="Arial" w:hAnsi="Arial" w:cs="Arial"/>
        </w:rPr>
        <w:t>into the possibility of securing the services of a ‘planning support volunteer’</w:t>
      </w:r>
      <w:r w:rsidR="005F32FB">
        <w:rPr>
          <w:rFonts w:ascii="Arial" w:hAnsi="Arial" w:cs="Arial"/>
        </w:rPr>
        <w:t xml:space="preserve"> to support the basic administration of the Board’s planning-related work.  This could then </w:t>
      </w:r>
      <w:r w:rsidR="003E1305">
        <w:rPr>
          <w:rFonts w:ascii="Arial" w:hAnsi="Arial" w:cs="Arial"/>
        </w:rPr>
        <w:t>provide</w:t>
      </w:r>
      <w:bookmarkStart w:id="0" w:name="_GoBack"/>
      <w:bookmarkEnd w:id="0"/>
      <w:r w:rsidR="005F32FB">
        <w:rPr>
          <w:rFonts w:ascii="Arial" w:hAnsi="Arial" w:cs="Arial"/>
        </w:rPr>
        <w:t xml:space="preserve"> </w:t>
      </w:r>
      <w:r w:rsidR="005F32FB" w:rsidRPr="005F32FB">
        <w:rPr>
          <w:rFonts w:ascii="Arial" w:hAnsi="Arial" w:cs="Arial"/>
        </w:rPr>
        <w:t>the Planning and Landscape Officer with more capacity to focus on the more significant planning applications</w:t>
      </w:r>
      <w:r w:rsidR="004A1812">
        <w:rPr>
          <w:rFonts w:ascii="Arial" w:hAnsi="Arial" w:cs="Arial"/>
        </w:rPr>
        <w:t>.</w:t>
      </w:r>
    </w:p>
    <w:p w:rsidR="00213113" w:rsidRDefault="00213113" w:rsidP="00213113">
      <w:pPr>
        <w:pStyle w:val="ListParagraph"/>
        <w:rPr>
          <w:rFonts w:ascii="Arial" w:hAnsi="Arial" w:cs="Arial"/>
        </w:rPr>
      </w:pPr>
    </w:p>
    <w:p w:rsidR="009B01D8" w:rsidRPr="00213113" w:rsidRDefault="00F84DBB" w:rsidP="00213113">
      <w:pPr>
        <w:pStyle w:val="ListParagraph"/>
        <w:numPr>
          <w:ilvl w:val="0"/>
          <w:numId w:val="1"/>
        </w:numPr>
        <w:ind w:hanging="720"/>
        <w:rPr>
          <w:rFonts w:ascii="Arial" w:hAnsi="Arial" w:cs="Arial"/>
        </w:rPr>
      </w:pPr>
      <w:r w:rsidRPr="004A1812">
        <w:rPr>
          <w:rFonts w:ascii="Arial" w:hAnsi="Arial" w:cs="Arial"/>
        </w:rPr>
        <w:t>As outlined above, there are a number of areas</w:t>
      </w:r>
      <w:r w:rsidR="005F32FB" w:rsidRPr="004A1812">
        <w:rPr>
          <w:rFonts w:ascii="Arial" w:hAnsi="Arial" w:cs="Arial"/>
        </w:rPr>
        <w:t xml:space="preserve"> which are not being adequately </w:t>
      </w:r>
      <w:r w:rsidRPr="004A1812">
        <w:rPr>
          <w:rFonts w:ascii="Arial" w:hAnsi="Arial" w:cs="Arial"/>
        </w:rPr>
        <w:t>addressed by the local authorities when they are making their decisions on planning applications.  It is recommended that the local authority development management teams should be made aware of these issues and asked to give them more consideration in their planning decisions.</w:t>
      </w:r>
      <w:r w:rsidR="004A1812" w:rsidRPr="004A1812">
        <w:rPr>
          <w:rFonts w:ascii="Arial" w:hAnsi="Arial" w:cs="Arial"/>
        </w:rPr>
        <w:t xml:space="preserve">  </w:t>
      </w:r>
      <w:r w:rsidR="004A1812">
        <w:rPr>
          <w:rFonts w:ascii="Arial" w:hAnsi="Arial" w:cs="Arial"/>
        </w:rPr>
        <w:t>Also, w</w:t>
      </w:r>
      <w:r w:rsidR="004A1812" w:rsidRPr="004A1812">
        <w:rPr>
          <w:rFonts w:ascii="Arial" w:hAnsi="Arial" w:cs="Arial"/>
        </w:rPr>
        <w:t>hen the Board’s Housing and Development Position Statement</w:t>
      </w:r>
      <w:r w:rsidR="004A1812">
        <w:rPr>
          <w:rFonts w:ascii="Arial" w:hAnsi="Arial" w:cs="Arial"/>
        </w:rPr>
        <w:t xml:space="preserve"> is updated, this could potentially include a summary of the key </w:t>
      </w:r>
      <w:r w:rsidR="004A1812" w:rsidRPr="004A1812">
        <w:rPr>
          <w:rFonts w:ascii="Arial" w:hAnsi="Arial" w:cs="Arial"/>
        </w:rPr>
        <w:t>issues that local authorities should be taking into account in their decision making (as per the criteria in this review).</w:t>
      </w:r>
      <w:r w:rsidR="004A1812">
        <w:rPr>
          <w:rFonts w:ascii="Arial" w:hAnsi="Arial" w:cs="Arial"/>
        </w:rPr>
        <w:t xml:space="preserve">  The local authority case officers could then potentially use this as a reference point when they are </w:t>
      </w:r>
      <w:r w:rsidR="00213113">
        <w:rPr>
          <w:rFonts w:ascii="Arial" w:hAnsi="Arial" w:cs="Arial"/>
        </w:rPr>
        <w:t>assessing planning</w:t>
      </w:r>
      <w:r w:rsidR="004A1812">
        <w:rPr>
          <w:rFonts w:ascii="Arial" w:hAnsi="Arial" w:cs="Arial"/>
        </w:rPr>
        <w:t xml:space="preserve"> applications.</w:t>
      </w:r>
    </w:p>
    <w:p w:rsidR="001E06C3" w:rsidRPr="001E06C3" w:rsidRDefault="001E06C3" w:rsidP="001E06C3">
      <w:pPr>
        <w:pStyle w:val="ListParagraph"/>
        <w:rPr>
          <w:rFonts w:ascii="Arial" w:hAnsi="Arial" w:cs="Arial"/>
        </w:rPr>
      </w:pPr>
    </w:p>
    <w:p w:rsidR="001E06C3" w:rsidRDefault="001E06C3">
      <w:pPr>
        <w:rPr>
          <w:rFonts w:ascii="Arial" w:hAnsi="Arial" w:cs="Arial"/>
        </w:rPr>
      </w:pPr>
      <w:r>
        <w:rPr>
          <w:rFonts w:ascii="Arial" w:hAnsi="Arial" w:cs="Arial"/>
        </w:rPr>
        <w:br w:type="page"/>
      </w:r>
    </w:p>
    <w:p w:rsidR="001E06C3" w:rsidRPr="001E06C3" w:rsidRDefault="00011B0A" w:rsidP="001E06C3">
      <w:pPr>
        <w:rPr>
          <w:rFonts w:ascii="Arial" w:hAnsi="Arial" w:cs="Arial"/>
          <w:b/>
        </w:rPr>
      </w:pPr>
      <w:r>
        <w:rPr>
          <w:rFonts w:ascii="Arial" w:hAnsi="Arial" w:cs="Arial"/>
          <w:b/>
        </w:rPr>
        <w:lastRenderedPageBreak/>
        <w:t xml:space="preserve">APPENDIX </w:t>
      </w:r>
      <w:r w:rsidR="001E06C3" w:rsidRPr="001E06C3">
        <w:rPr>
          <w:rFonts w:ascii="Arial" w:hAnsi="Arial" w:cs="Arial"/>
          <w:b/>
        </w:rPr>
        <w:t>1.  TABLE OF THE EXTENT TO WHICH AONB-RELATED ISSUES WERE ADDDRESSED IN THE PLANNING OFFICER’S REPORT AND / OR THE DECISION NOTICE</w:t>
      </w:r>
    </w:p>
    <w:p w:rsidR="001E06C3" w:rsidRDefault="001E06C3" w:rsidP="001E06C3">
      <w:pPr>
        <w:rPr>
          <w:rFonts w:ascii="Arial" w:hAnsi="Arial" w:cs="Arial"/>
        </w:rPr>
      </w:pPr>
    </w:p>
    <w:tbl>
      <w:tblPr>
        <w:tblStyle w:val="TableGrid"/>
        <w:tblW w:w="0" w:type="auto"/>
        <w:tblLook w:val="04A0" w:firstRow="1" w:lastRow="0" w:firstColumn="1" w:lastColumn="0" w:noHBand="0" w:noVBand="1"/>
      </w:tblPr>
      <w:tblGrid>
        <w:gridCol w:w="6232"/>
        <w:gridCol w:w="2127"/>
        <w:gridCol w:w="1269"/>
      </w:tblGrid>
      <w:tr w:rsidR="001E06C3" w:rsidTr="00205701">
        <w:tc>
          <w:tcPr>
            <w:tcW w:w="6232" w:type="dxa"/>
            <w:tcBorders>
              <w:bottom w:val="single" w:sz="4" w:space="0" w:color="auto"/>
            </w:tcBorders>
          </w:tcPr>
          <w:p w:rsidR="001E06C3" w:rsidRPr="001E06C3" w:rsidRDefault="001E06C3" w:rsidP="001E06C3">
            <w:pPr>
              <w:rPr>
                <w:rFonts w:asciiTheme="minorHAnsi" w:hAnsiTheme="minorHAnsi" w:cstheme="minorHAnsi"/>
                <w:b/>
                <w:sz w:val="20"/>
                <w:szCs w:val="20"/>
              </w:rPr>
            </w:pPr>
            <w:r w:rsidRPr="001E06C3">
              <w:rPr>
                <w:rFonts w:asciiTheme="minorHAnsi" w:hAnsiTheme="minorHAnsi" w:cstheme="minorHAnsi"/>
                <w:b/>
                <w:sz w:val="20"/>
                <w:szCs w:val="20"/>
              </w:rPr>
              <w:t>ISSUE</w:t>
            </w:r>
          </w:p>
        </w:tc>
        <w:tc>
          <w:tcPr>
            <w:tcW w:w="2127" w:type="dxa"/>
            <w:tcBorders>
              <w:bottom w:val="single" w:sz="4" w:space="0" w:color="auto"/>
            </w:tcBorders>
          </w:tcPr>
          <w:p w:rsidR="001E06C3" w:rsidRPr="001E06C3" w:rsidRDefault="00CA24FA" w:rsidP="001E06C3">
            <w:pPr>
              <w:rPr>
                <w:rFonts w:asciiTheme="minorHAnsi" w:hAnsiTheme="minorHAnsi" w:cstheme="minorHAnsi"/>
                <w:b/>
                <w:sz w:val="20"/>
                <w:szCs w:val="20"/>
              </w:rPr>
            </w:pPr>
            <w:r>
              <w:rPr>
                <w:rFonts w:asciiTheme="minorHAnsi" w:hAnsiTheme="minorHAnsi" w:cstheme="minorHAnsi"/>
                <w:b/>
                <w:sz w:val="20"/>
                <w:szCs w:val="20"/>
              </w:rPr>
              <w:t xml:space="preserve">%  WHERE </w:t>
            </w:r>
            <w:r w:rsidR="001E06C3" w:rsidRPr="001E06C3">
              <w:rPr>
                <w:rFonts w:asciiTheme="minorHAnsi" w:hAnsiTheme="minorHAnsi" w:cstheme="minorHAnsi"/>
                <w:b/>
                <w:sz w:val="20"/>
                <w:szCs w:val="20"/>
              </w:rPr>
              <w:t>ISSUE IDENTIFIED / ADDRESSED</w:t>
            </w:r>
          </w:p>
        </w:tc>
        <w:tc>
          <w:tcPr>
            <w:tcW w:w="1269" w:type="dxa"/>
            <w:tcBorders>
              <w:bottom w:val="single" w:sz="4" w:space="0" w:color="auto"/>
            </w:tcBorders>
          </w:tcPr>
          <w:p w:rsidR="001E06C3" w:rsidRDefault="001E06C3" w:rsidP="001E06C3">
            <w:pPr>
              <w:rPr>
                <w:rFonts w:asciiTheme="minorHAnsi" w:hAnsiTheme="minorHAnsi" w:cstheme="minorHAnsi"/>
                <w:b/>
                <w:sz w:val="20"/>
                <w:szCs w:val="20"/>
              </w:rPr>
            </w:pPr>
            <w:r w:rsidRPr="001E06C3">
              <w:rPr>
                <w:rFonts w:asciiTheme="minorHAnsi" w:hAnsiTheme="minorHAnsi" w:cstheme="minorHAnsi"/>
                <w:b/>
                <w:sz w:val="20"/>
                <w:szCs w:val="20"/>
              </w:rPr>
              <w:t>COMMENTS</w:t>
            </w:r>
          </w:p>
          <w:p w:rsidR="00314F8D" w:rsidRPr="001E06C3" w:rsidRDefault="00314F8D" w:rsidP="001E06C3">
            <w:pPr>
              <w:rPr>
                <w:rFonts w:asciiTheme="minorHAnsi" w:hAnsiTheme="minorHAnsi" w:cstheme="minorHAnsi"/>
                <w:b/>
                <w:sz w:val="20"/>
                <w:szCs w:val="20"/>
              </w:rPr>
            </w:pPr>
          </w:p>
        </w:tc>
      </w:tr>
      <w:tr w:rsidR="001E06C3" w:rsidTr="00205701">
        <w:tc>
          <w:tcPr>
            <w:tcW w:w="6232" w:type="dxa"/>
            <w:tcBorders>
              <w:bottom w:val="dashSmallGap" w:sz="4" w:space="0" w:color="auto"/>
            </w:tcBorders>
          </w:tcPr>
          <w:p w:rsidR="001E06C3" w:rsidRPr="00314F8D" w:rsidRDefault="001E06C3" w:rsidP="001E06C3">
            <w:pPr>
              <w:rPr>
                <w:rFonts w:asciiTheme="minorHAnsi" w:hAnsiTheme="minorHAnsi" w:cstheme="minorHAnsi"/>
                <w:b/>
                <w:sz w:val="20"/>
                <w:szCs w:val="20"/>
              </w:rPr>
            </w:pPr>
            <w:r w:rsidRPr="00314F8D">
              <w:rPr>
                <w:rFonts w:asciiTheme="minorHAnsi" w:hAnsiTheme="minorHAnsi" w:cstheme="minorHAnsi"/>
                <w:b/>
                <w:sz w:val="20"/>
                <w:szCs w:val="20"/>
              </w:rPr>
              <w:t>The case officer’s report and / or the decision notice identified that:</w:t>
            </w:r>
          </w:p>
        </w:tc>
        <w:tc>
          <w:tcPr>
            <w:tcW w:w="2127" w:type="dxa"/>
            <w:tcBorders>
              <w:bottom w:val="dashSmallGap" w:sz="4" w:space="0" w:color="auto"/>
            </w:tcBorders>
          </w:tcPr>
          <w:p w:rsidR="001E06C3" w:rsidRPr="00314F8D" w:rsidRDefault="001E06C3" w:rsidP="001E06C3">
            <w:pPr>
              <w:rPr>
                <w:rFonts w:asciiTheme="minorHAnsi" w:hAnsiTheme="minorHAnsi" w:cstheme="minorHAnsi"/>
                <w:sz w:val="20"/>
                <w:szCs w:val="20"/>
              </w:rPr>
            </w:pPr>
          </w:p>
        </w:tc>
        <w:tc>
          <w:tcPr>
            <w:tcW w:w="1269" w:type="dxa"/>
            <w:tcBorders>
              <w:bottom w:val="dashSmallGap"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Pr="00314F8D" w:rsidRDefault="00314F8D" w:rsidP="001E06C3">
            <w:pPr>
              <w:rPr>
                <w:rFonts w:asciiTheme="minorHAnsi" w:hAnsiTheme="minorHAnsi" w:cstheme="minorHAnsi"/>
                <w:sz w:val="20"/>
                <w:szCs w:val="20"/>
              </w:rPr>
            </w:pPr>
            <w:r>
              <w:rPr>
                <w:rFonts w:asciiTheme="minorHAnsi" w:hAnsiTheme="minorHAnsi" w:cstheme="minorHAnsi"/>
                <w:sz w:val="20"/>
                <w:szCs w:val="20"/>
              </w:rPr>
              <w:t>T</w:t>
            </w:r>
            <w:r w:rsidR="001E06C3" w:rsidRPr="00314F8D">
              <w:rPr>
                <w:rFonts w:asciiTheme="minorHAnsi" w:hAnsiTheme="minorHAnsi" w:cstheme="minorHAnsi"/>
                <w:sz w:val="20"/>
                <w:szCs w:val="20"/>
              </w:rPr>
              <w:t>he proposed development was located in the AONB or its setting;</w:t>
            </w:r>
          </w:p>
        </w:tc>
        <w:tc>
          <w:tcPr>
            <w:tcW w:w="2127" w:type="dxa"/>
            <w:tcBorders>
              <w:top w:val="dashSmallGap" w:sz="4" w:space="0" w:color="auto"/>
              <w:bottom w:val="dashSmallGap" w:sz="4" w:space="0" w:color="auto"/>
            </w:tcBorders>
            <w:shd w:val="clear" w:color="auto" w:fill="92D050"/>
          </w:tcPr>
          <w:p w:rsidR="001E06C3" w:rsidRPr="00314F8D" w:rsidRDefault="00CA24FA" w:rsidP="001E06C3">
            <w:pPr>
              <w:rPr>
                <w:rFonts w:asciiTheme="minorHAnsi" w:hAnsiTheme="minorHAnsi" w:cstheme="minorHAnsi"/>
                <w:sz w:val="20"/>
                <w:szCs w:val="20"/>
              </w:rPr>
            </w:pPr>
            <w:r>
              <w:rPr>
                <w:rFonts w:asciiTheme="minorHAnsi" w:hAnsiTheme="minorHAnsi" w:cstheme="minorHAnsi"/>
                <w:sz w:val="20"/>
                <w:szCs w:val="20"/>
              </w:rPr>
              <w:t>100%</w:t>
            </w:r>
          </w:p>
        </w:tc>
        <w:tc>
          <w:tcPr>
            <w:tcW w:w="1269" w:type="dxa"/>
            <w:tcBorders>
              <w:top w:val="dashSmallGap" w:sz="4" w:space="0" w:color="auto"/>
              <w:bottom w:val="dashSmallGap"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Pr="00314F8D" w:rsidRDefault="00314F8D" w:rsidP="001E06C3">
            <w:pPr>
              <w:rPr>
                <w:rFonts w:asciiTheme="minorHAnsi" w:hAnsiTheme="minorHAnsi" w:cstheme="minorHAnsi"/>
                <w:sz w:val="20"/>
                <w:szCs w:val="20"/>
              </w:rPr>
            </w:pPr>
            <w:r>
              <w:rPr>
                <w:rFonts w:asciiTheme="minorHAnsi" w:hAnsiTheme="minorHAnsi" w:cstheme="minorHAnsi"/>
                <w:sz w:val="20"/>
                <w:szCs w:val="20"/>
              </w:rPr>
              <w:t>T</w:t>
            </w:r>
            <w:r w:rsidR="001E06C3" w:rsidRPr="00314F8D">
              <w:rPr>
                <w:rFonts w:asciiTheme="minorHAnsi" w:hAnsiTheme="minorHAnsi" w:cstheme="minorHAnsi"/>
                <w:sz w:val="20"/>
                <w:szCs w:val="20"/>
              </w:rPr>
              <w:t>he AONB was a constraint and / or a main issue;</w:t>
            </w:r>
          </w:p>
        </w:tc>
        <w:tc>
          <w:tcPr>
            <w:tcW w:w="2127" w:type="dxa"/>
            <w:tcBorders>
              <w:top w:val="dashSmallGap" w:sz="4" w:space="0" w:color="auto"/>
              <w:bottom w:val="dashSmallGap" w:sz="4" w:space="0" w:color="auto"/>
            </w:tcBorders>
            <w:shd w:val="clear" w:color="auto" w:fill="92D050"/>
          </w:tcPr>
          <w:p w:rsidR="001E06C3" w:rsidRPr="00314F8D" w:rsidRDefault="0077223A" w:rsidP="001E06C3">
            <w:pPr>
              <w:rPr>
                <w:rFonts w:asciiTheme="minorHAnsi" w:hAnsiTheme="minorHAnsi" w:cstheme="minorHAnsi"/>
                <w:sz w:val="20"/>
                <w:szCs w:val="20"/>
              </w:rPr>
            </w:pPr>
            <w:r>
              <w:rPr>
                <w:rFonts w:asciiTheme="minorHAnsi" w:hAnsiTheme="minorHAnsi" w:cstheme="minorHAnsi"/>
                <w:sz w:val="20"/>
                <w:szCs w:val="20"/>
              </w:rPr>
              <w:t>86%</w:t>
            </w:r>
          </w:p>
        </w:tc>
        <w:tc>
          <w:tcPr>
            <w:tcW w:w="1269" w:type="dxa"/>
            <w:tcBorders>
              <w:top w:val="dashSmallGap" w:sz="4" w:space="0" w:color="auto"/>
              <w:bottom w:val="dashSmallGap"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Pr="00314F8D" w:rsidRDefault="00314F8D" w:rsidP="001E06C3">
            <w:pPr>
              <w:rPr>
                <w:rFonts w:asciiTheme="minorHAnsi" w:hAnsiTheme="minorHAnsi" w:cstheme="minorHAnsi"/>
                <w:sz w:val="20"/>
                <w:szCs w:val="20"/>
              </w:rPr>
            </w:pPr>
            <w:r>
              <w:rPr>
                <w:rFonts w:asciiTheme="minorHAnsi" w:hAnsiTheme="minorHAnsi" w:cstheme="minorHAnsi"/>
                <w:sz w:val="20"/>
                <w:szCs w:val="20"/>
              </w:rPr>
              <w:t>T</w:t>
            </w:r>
            <w:r w:rsidR="001E06C3" w:rsidRPr="00314F8D">
              <w:rPr>
                <w:rFonts w:asciiTheme="minorHAnsi" w:hAnsiTheme="minorHAnsi" w:cstheme="minorHAnsi"/>
                <w:sz w:val="20"/>
                <w:szCs w:val="20"/>
              </w:rPr>
              <w:t>here were likely to be adverse impacts on the AONB;</w:t>
            </w:r>
          </w:p>
        </w:tc>
        <w:tc>
          <w:tcPr>
            <w:tcW w:w="2127" w:type="dxa"/>
            <w:tcBorders>
              <w:top w:val="dashSmallGap" w:sz="4" w:space="0" w:color="auto"/>
              <w:bottom w:val="dashSmallGap" w:sz="4" w:space="0" w:color="auto"/>
            </w:tcBorders>
            <w:shd w:val="clear" w:color="auto" w:fill="FFC000"/>
          </w:tcPr>
          <w:p w:rsidR="001E06C3" w:rsidRPr="00314F8D" w:rsidRDefault="0077223A" w:rsidP="001E06C3">
            <w:pPr>
              <w:rPr>
                <w:rFonts w:asciiTheme="minorHAnsi" w:hAnsiTheme="minorHAnsi" w:cstheme="minorHAnsi"/>
                <w:sz w:val="20"/>
                <w:szCs w:val="20"/>
              </w:rPr>
            </w:pPr>
            <w:r>
              <w:rPr>
                <w:rFonts w:asciiTheme="minorHAnsi" w:hAnsiTheme="minorHAnsi" w:cstheme="minorHAnsi"/>
                <w:sz w:val="20"/>
                <w:szCs w:val="20"/>
              </w:rPr>
              <w:t>71%</w:t>
            </w:r>
          </w:p>
        </w:tc>
        <w:tc>
          <w:tcPr>
            <w:tcW w:w="1269" w:type="dxa"/>
            <w:tcBorders>
              <w:top w:val="dashSmallGap" w:sz="4" w:space="0" w:color="auto"/>
              <w:bottom w:val="dashSmallGap"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Pr="00314F8D" w:rsidRDefault="00314F8D" w:rsidP="001E06C3">
            <w:pPr>
              <w:rPr>
                <w:rFonts w:asciiTheme="minorHAnsi" w:hAnsiTheme="minorHAnsi" w:cstheme="minorHAnsi"/>
                <w:sz w:val="20"/>
                <w:szCs w:val="20"/>
              </w:rPr>
            </w:pPr>
            <w:r>
              <w:rPr>
                <w:rFonts w:asciiTheme="minorHAnsi" w:hAnsiTheme="minorHAnsi" w:cstheme="minorHAnsi"/>
                <w:sz w:val="20"/>
                <w:szCs w:val="20"/>
              </w:rPr>
              <w:t>T</w:t>
            </w:r>
            <w:r w:rsidR="001E06C3" w:rsidRPr="00314F8D">
              <w:rPr>
                <w:rFonts w:asciiTheme="minorHAnsi" w:hAnsiTheme="minorHAnsi" w:cstheme="minorHAnsi"/>
                <w:sz w:val="20"/>
                <w:szCs w:val="20"/>
              </w:rPr>
              <w:t>here were likely to be significant adverse impacts on the AONB;</w:t>
            </w:r>
          </w:p>
        </w:tc>
        <w:tc>
          <w:tcPr>
            <w:tcW w:w="2127" w:type="dxa"/>
            <w:tcBorders>
              <w:top w:val="dashSmallGap" w:sz="4" w:space="0" w:color="auto"/>
              <w:bottom w:val="dashSmallGap" w:sz="4" w:space="0" w:color="auto"/>
            </w:tcBorders>
            <w:shd w:val="clear" w:color="auto" w:fill="FF0000"/>
          </w:tcPr>
          <w:p w:rsidR="001E06C3" w:rsidRPr="00314F8D" w:rsidRDefault="006C3229" w:rsidP="001E06C3">
            <w:pPr>
              <w:rPr>
                <w:rFonts w:asciiTheme="minorHAnsi" w:hAnsiTheme="minorHAnsi" w:cstheme="minorHAnsi"/>
                <w:sz w:val="20"/>
                <w:szCs w:val="20"/>
              </w:rPr>
            </w:pPr>
            <w:r>
              <w:rPr>
                <w:rFonts w:asciiTheme="minorHAnsi" w:hAnsiTheme="minorHAnsi" w:cstheme="minorHAnsi"/>
                <w:sz w:val="20"/>
                <w:szCs w:val="20"/>
              </w:rPr>
              <w:t>29</w:t>
            </w:r>
            <w:r w:rsidR="0077223A">
              <w:rPr>
                <w:rFonts w:asciiTheme="minorHAnsi" w:hAnsiTheme="minorHAnsi" w:cstheme="minorHAnsi"/>
                <w:sz w:val="20"/>
                <w:szCs w:val="20"/>
              </w:rPr>
              <w:t>%</w:t>
            </w:r>
          </w:p>
        </w:tc>
        <w:tc>
          <w:tcPr>
            <w:tcW w:w="1269" w:type="dxa"/>
            <w:tcBorders>
              <w:top w:val="dashSmallGap" w:sz="4" w:space="0" w:color="auto"/>
              <w:bottom w:val="dashSmallGap"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single" w:sz="4" w:space="0" w:color="auto"/>
            </w:tcBorders>
          </w:tcPr>
          <w:p w:rsidR="001E06C3" w:rsidRPr="00314F8D" w:rsidRDefault="0077223A" w:rsidP="001E06C3">
            <w:pPr>
              <w:rPr>
                <w:rFonts w:asciiTheme="minorHAnsi" w:hAnsiTheme="minorHAnsi" w:cstheme="minorHAnsi"/>
                <w:sz w:val="20"/>
                <w:szCs w:val="20"/>
              </w:rPr>
            </w:pPr>
            <w:r>
              <w:rPr>
                <w:rFonts w:asciiTheme="minorHAnsi" w:hAnsiTheme="minorHAnsi" w:cstheme="minorHAnsi"/>
                <w:sz w:val="20"/>
                <w:szCs w:val="20"/>
              </w:rPr>
              <w:t>Adverse impacts outweighed benefits.</w:t>
            </w:r>
          </w:p>
        </w:tc>
        <w:tc>
          <w:tcPr>
            <w:tcW w:w="2127" w:type="dxa"/>
            <w:tcBorders>
              <w:top w:val="dashSmallGap" w:sz="4" w:space="0" w:color="auto"/>
              <w:bottom w:val="single" w:sz="4" w:space="0" w:color="auto"/>
            </w:tcBorders>
            <w:shd w:val="clear" w:color="auto" w:fill="FF0000"/>
          </w:tcPr>
          <w:p w:rsidR="001E06C3" w:rsidRPr="00314F8D" w:rsidRDefault="0077223A" w:rsidP="001E06C3">
            <w:pPr>
              <w:rPr>
                <w:rFonts w:asciiTheme="minorHAnsi" w:hAnsiTheme="minorHAnsi" w:cstheme="minorHAnsi"/>
                <w:sz w:val="20"/>
                <w:szCs w:val="20"/>
              </w:rPr>
            </w:pPr>
            <w:r>
              <w:rPr>
                <w:rFonts w:asciiTheme="minorHAnsi" w:hAnsiTheme="minorHAnsi" w:cstheme="minorHAnsi"/>
                <w:sz w:val="20"/>
                <w:szCs w:val="20"/>
              </w:rPr>
              <w:t>14%</w:t>
            </w:r>
          </w:p>
        </w:tc>
        <w:tc>
          <w:tcPr>
            <w:tcW w:w="1269" w:type="dxa"/>
            <w:tcBorders>
              <w:top w:val="dashSmallGap" w:sz="4" w:space="0" w:color="auto"/>
              <w:bottom w:val="single" w:sz="4" w:space="0" w:color="auto"/>
            </w:tcBorders>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bottom w:val="dashSmallGap" w:sz="4" w:space="0" w:color="auto"/>
            </w:tcBorders>
          </w:tcPr>
          <w:p w:rsidR="001E06C3" w:rsidRPr="00314F8D" w:rsidRDefault="001E06C3" w:rsidP="001E06C3">
            <w:pPr>
              <w:rPr>
                <w:rFonts w:asciiTheme="minorHAnsi" w:hAnsiTheme="minorHAnsi" w:cstheme="minorHAnsi"/>
                <w:b/>
                <w:sz w:val="20"/>
                <w:szCs w:val="20"/>
              </w:rPr>
            </w:pPr>
            <w:r w:rsidRPr="00314F8D">
              <w:rPr>
                <w:rFonts w:asciiTheme="minorHAnsi" w:hAnsiTheme="minorHAnsi" w:cstheme="minorHAnsi"/>
                <w:b/>
                <w:sz w:val="20"/>
                <w:szCs w:val="20"/>
              </w:rPr>
              <w:t>The case officer’s report and / or the decision notice addressed (or at least referred t</w:t>
            </w:r>
            <w:r w:rsidR="00314F8D">
              <w:rPr>
                <w:rFonts w:asciiTheme="minorHAnsi" w:hAnsiTheme="minorHAnsi" w:cstheme="minorHAnsi"/>
                <w:b/>
                <w:sz w:val="20"/>
                <w:szCs w:val="20"/>
              </w:rPr>
              <w:t>o)</w:t>
            </w:r>
            <w:r w:rsidRPr="00314F8D">
              <w:rPr>
                <w:rFonts w:asciiTheme="minorHAnsi" w:hAnsiTheme="minorHAnsi" w:cstheme="minorHAnsi"/>
                <w:b/>
                <w:sz w:val="20"/>
                <w:szCs w:val="20"/>
              </w:rPr>
              <w:t>:</w:t>
            </w:r>
          </w:p>
        </w:tc>
        <w:tc>
          <w:tcPr>
            <w:tcW w:w="2127" w:type="dxa"/>
            <w:tcBorders>
              <w:bottom w:val="dashSmallGap" w:sz="4" w:space="0" w:color="auto"/>
            </w:tcBorders>
          </w:tcPr>
          <w:p w:rsidR="001E06C3" w:rsidRPr="00314F8D" w:rsidRDefault="001E06C3" w:rsidP="001E06C3">
            <w:pPr>
              <w:rPr>
                <w:rFonts w:asciiTheme="minorHAnsi" w:hAnsiTheme="minorHAnsi" w:cstheme="minorHAnsi"/>
                <w:sz w:val="20"/>
                <w:szCs w:val="20"/>
              </w:rPr>
            </w:pPr>
          </w:p>
        </w:tc>
        <w:tc>
          <w:tcPr>
            <w:tcW w:w="1269" w:type="dxa"/>
            <w:tcBorders>
              <w:bottom w:val="dashSmallGap" w:sz="4" w:space="0" w:color="auto"/>
            </w:tcBorders>
            <w:shd w:val="clear" w:color="auto" w:fill="auto"/>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Pr="00314F8D" w:rsidRDefault="00314F8D" w:rsidP="001E06C3">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Board’s response;</w:t>
            </w:r>
          </w:p>
        </w:tc>
        <w:tc>
          <w:tcPr>
            <w:tcW w:w="2127" w:type="dxa"/>
            <w:tcBorders>
              <w:top w:val="dashSmallGap" w:sz="4" w:space="0" w:color="auto"/>
              <w:bottom w:val="dashSmallGap" w:sz="4" w:space="0" w:color="auto"/>
            </w:tcBorders>
            <w:shd w:val="clear" w:color="auto" w:fill="92D050"/>
          </w:tcPr>
          <w:p w:rsidR="001E06C3" w:rsidRPr="00314F8D" w:rsidRDefault="0077223A" w:rsidP="001E06C3">
            <w:pPr>
              <w:rPr>
                <w:rFonts w:asciiTheme="minorHAnsi" w:hAnsiTheme="minorHAnsi" w:cstheme="minorHAnsi"/>
                <w:sz w:val="20"/>
                <w:szCs w:val="20"/>
              </w:rPr>
            </w:pPr>
            <w:r>
              <w:rPr>
                <w:rFonts w:asciiTheme="minorHAnsi" w:hAnsiTheme="minorHAnsi" w:cstheme="minorHAnsi"/>
                <w:sz w:val="20"/>
                <w:szCs w:val="20"/>
              </w:rPr>
              <w:t>100%</w:t>
            </w:r>
          </w:p>
        </w:tc>
        <w:tc>
          <w:tcPr>
            <w:tcW w:w="1269" w:type="dxa"/>
            <w:tcBorders>
              <w:top w:val="dashSmallGap" w:sz="4" w:space="0" w:color="auto"/>
              <w:bottom w:val="dashSmallGap" w:sz="4" w:space="0" w:color="auto"/>
            </w:tcBorders>
            <w:shd w:val="clear" w:color="auto" w:fill="auto"/>
          </w:tcPr>
          <w:p w:rsidR="001E06C3" w:rsidRPr="00314F8D"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purpose of AONB designation;</w:t>
            </w:r>
          </w:p>
        </w:tc>
        <w:tc>
          <w:tcPr>
            <w:tcW w:w="2127" w:type="dxa"/>
            <w:tcBorders>
              <w:top w:val="dashSmallGap" w:sz="4" w:space="0" w:color="auto"/>
              <w:bottom w:val="dashSmallGap" w:sz="4" w:space="0" w:color="auto"/>
            </w:tcBorders>
            <w:shd w:val="clear" w:color="auto" w:fill="FF0000"/>
          </w:tcPr>
          <w:p w:rsidR="001E06C3" w:rsidRPr="001E06C3" w:rsidRDefault="0077223A" w:rsidP="001E06C3">
            <w:pPr>
              <w:rPr>
                <w:rFonts w:asciiTheme="minorHAnsi" w:hAnsiTheme="minorHAnsi" w:cstheme="minorHAnsi"/>
                <w:sz w:val="20"/>
                <w:szCs w:val="20"/>
              </w:rPr>
            </w:pPr>
            <w:r>
              <w:rPr>
                <w:rFonts w:asciiTheme="minorHAnsi" w:hAnsiTheme="minorHAnsi" w:cstheme="minorHAnsi"/>
                <w:sz w:val="20"/>
                <w:szCs w:val="20"/>
              </w:rPr>
              <w:t>29%</w:t>
            </w:r>
          </w:p>
        </w:tc>
        <w:tc>
          <w:tcPr>
            <w:tcW w:w="1269" w:type="dxa"/>
            <w:tcBorders>
              <w:top w:val="dashSmallGap" w:sz="4" w:space="0" w:color="auto"/>
              <w:bottom w:val="dashSmallGap"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duty of regard (S85 of the CROW Act);</w:t>
            </w:r>
          </w:p>
        </w:tc>
        <w:tc>
          <w:tcPr>
            <w:tcW w:w="2127" w:type="dxa"/>
            <w:tcBorders>
              <w:top w:val="dashSmallGap" w:sz="4" w:space="0" w:color="auto"/>
              <w:bottom w:val="dashSmallGap" w:sz="4" w:space="0" w:color="auto"/>
            </w:tcBorders>
            <w:shd w:val="clear" w:color="auto" w:fill="FF0000"/>
          </w:tcPr>
          <w:p w:rsidR="001E06C3" w:rsidRPr="001E06C3" w:rsidRDefault="0077223A" w:rsidP="001E06C3">
            <w:pPr>
              <w:rPr>
                <w:rFonts w:asciiTheme="minorHAnsi" w:hAnsiTheme="minorHAnsi" w:cstheme="minorHAnsi"/>
                <w:sz w:val="20"/>
                <w:szCs w:val="20"/>
              </w:rPr>
            </w:pPr>
            <w:r>
              <w:rPr>
                <w:rFonts w:asciiTheme="minorHAnsi" w:hAnsiTheme="minorHAnsi" w:cstheme="minorHAnsi"/>
                <w:sz w:val="20"/>
                <w:szCs w:val="20"/>
              </w:rPr>
              <w:t>29%</w:t>
            </w:r>
          </w:p>
        </w:tc>
        <w:tc>
          <w:tcPr>
            <w:tcW w:w="1269" w:type="dxa"/>
            <w:tcBorders>
              <w:top w:val="dashSmallGap" w:sz="4" w:space="0" w:color="auto"/>
              <w:bottom w:val="dashSmallGap" w:sz="4" w:space="0" w:color="auto"/>
            </w:tcBorders>
          </w:tcPr>
          <w:p w:rsidR="001E06C3" w:rsidRPr="001E06C3" w:rsidRDefault="001E06C3" w:rsidP="001E06C3">
            <w:pPr>
              <w:rPr>
                <w:rFonts w:asciiTheme="minorHAnsi" w:hAnsiTheme="minorHAnsi" w:cstheme="minorHAnsi"/>
                <w:sz w:val="20"/>
                <w:szCs w:val="20"/>
              </w:rPr>
            </w:pPr>
          </w:p>
        </w:tc>
      </w:tr>
      <w:tr w:rsidR="001E06C3" w:rsidTr="00205701">
        <w:tc>
          <w:tcPr>
            <w:tcW w:w="6232" w:type="dxa"/>
            <w:tcBorders>
              <w:top w:val="dashSmallGap" w:sz="4" w:space="0" w:color="auto"/>
              <w:bottom w:val="dashSmallGap"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duty on local authorities under S84 of the CROW Act;</w:t>
            </w:r>
          </w:p>
        </w:tc>
        <w:tc>
          <w:tcPr>
            <w:tcW w:w="2127" w:type="dxa"/>
            <w:tcBorders>
              <w:top w:val="dashSmallGap" w:sz="4" w:space="0" w:color="auto"/>
              <w:bottom w:val="dashSmallGap" w:sz="4" w:space="0" w:color="auto"/>
            </w:tcBorders>
            <w:shd w:val="clear" w:color="auto" w:fill="FF0000"/>
          </w:tcPr>
          <w:p w:rsidR="001E06C3" w:rsidRPr="001E06C3" w:rsidRDefault="0077223A" w:rsidP="001E06C3">
            <w:pPr>
              <w:rPr>
                <w:rFonts w:asciiTheme="minorHAnsi" w:hAnsiTheme="minorHAnsi" w:cstheme="minorHAnsi"/>
                <w:sz w:val="20"/>
                <w:szCs w:val="20"/>
              </w:rPr>
            </w:pPr>
            <w:r>
              <w:rPr>
                <w:rFonts w:asciiTheme="minorHAnsi" w:hAnsiTheme="minorHAnsi" w:cstheme="minorHAnsi"/>
                <w:sz w:val="20"/>
                <w:szCs w:val="20"/>
              </w:rPr>
              <w:t>0%</w:t>
            </w:r>
          </w:p>
        </w:tc>
        <w:tc>
          <w:tcPr>
            <w:tcW w:w="1269" w:type="dxa"/>
            <w:tcBorders>
              <w:top w:val="dashSmallGap" w:sz="4" w:space="0" w:color="auto"/>
              <w:bottom w:val="dashSmallGap" w:sz="4" w:space="0" w:color="auto"/>
            </w:tcBorders>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ashSmallGap" w:sz="4" w:space="0" w:color="auto"/>
              <w:bottom w:val="dashSmallGap"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fact that the presumption in favour of permitting development does not apply in AONBs</w:t>
            </w:r>
            <w:r>
              <w:rPr>
                <w:rFonts w:asciiTheme="minorHAnsi" w:hAnsiTheme="minorHAnsi" w:cstheme="minorHAnsi"/>
                <w:sz w:val="20"/>
                <w:szCs w:val="20"/>
              </w:rPr>
              <w:t xml:space="preserve"> (as per para 11 of the NPPF)</w:t>
            </w:r>
            <w:r w:rsidRPr="00314F8D">
              <w:rPr>
                <w:rFonts w:asciiTheme="minorHAnsi" w:hAnsiTheme="minorHAnsi" w:cstheme="minorHAnsi"/>
                <w:sz w:val="20"/>
                <w:szCs w:val="20"/>
              </w:rPr>
              <w:t>;</w:t>
            </w:r>
          </w:p>
        </w:tc>
        <w:tc>
          <w:tcPr>
            <w:tcW w:w="2127" w:type="dxa"/>
            <w:tcBorders>
              <w:top w:val="dashSmallGap" w:sz="4" w:space="0" w:color="auto"/>
              <w:bottom w:val="dashSmallGap" w:sz="4" w:space="0" w:color="auto"/>
            </w:tcBorders>
            <w:shd w:val="clear" w:color="auto" w:fill="FF0000"/>
          </w:tcPr>
          <w:p w:rsidR="001E06C3" w:rsidRPr="001E06C3" w:rsidRDefault="0077223A" w:rsidP="001E06C3">
            <w:pPr>
              <w:rPr>
                <w:rFonts w:asciiTheme="minorHAnsi" w:hAnsiTheme="minorHAnsi" w:cstheme="minorHAnsi"/>
                <w:sz w:val="20"/>
                <w:szCs w:val="20"/>
              </w:rPr>
            </w:pPr>
            <w:r>
              <w:rPr>
                <w:rFonts w:asciiTheme="minorHAnsi" w:hAnsiTheme="minorHAnsi" w:cstheme="minorHAnsi"/>
                <w:sz w:val="20"/>
                <w:szCs w:val="20"/>
              </w:rPr>
              <w:t>14%</w:t>
            </w:r>
          </w:p>
        </w:tc>
        <w:tc>
          <w:tcPr>
            <w:tcW w:w="1269" w:type="dxa"/>
            <w:tcBorders>
              <w:top w:val="dashSmallGap" w:sz="4" w:space="0" w:color="auto"/>
              <w:bottom w:val="dashSmallGap"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ashSmallGap" w:sz="4" w:space="0" w:color="auto"/>
              <w:bottom w:val="dotted" w:sz="4" w:space="0" w:color="auto"/>
            </w:tcBorders>
          </w:tcPr>
          <w:p w:rsidR="001E06C3" w:rsidRDefault="00314F8D" w:rsidP="00314F8D">
            <w:pPr>
              <w:rPr>
                <w:rFonts w:asciiTheme="minorHAnsi" w:hAnsiTheme="minorHAnsi" w:cstheme="minorHAnsi"/>
                <w:sz w:val="20"/>
                <w:szCs w:val="20"/>
              </w:rPr>
            </w:pPr>
            <w:r>
              <w:rPr>
                <w:rFonts w:asciiTheme="minorHAnsi" w:hAnsiTheme="minorHAnsi" w:cstheme="minorHAnsi"/>
                <w:sz w:val="20"/>
                <w:szCs w:val="20"/>
              </w:rPr>
              <w:t>T</w:t>
            </w:r>
            <w:r w:rsidRPr="00314F8D">
              <w:rPr>
                <w:rFonts w:asciiTheme="minorHAnsi" w:hAnsiTheme="minorHAnsi" w:cstheme="minorHAnsi"/>
                <w:sz w:val="20"/>
                <w:szCs w:val="20"/>
              </w:rPr>
              <w:t>he policies in para</w:t>
            </w:r>
            <w:r>
              <w:rPr>
                <w:rFonts w:asciiTheme="minorHAnsi" w:hAnsiTheme="minorHAnsi" w:cstheme="minorHAnsi"/>
                <w:sz w:val="20"/>
                <w:szCs w:val="20"/>
              </w:rPr>
              <w:t xml:space="preserve"> 172 of the NPPF</w:t>
            </w:r>
            <w:r w:rsidRPr="00314F8D">
              <w:rPr>
                <w:rFonts w:asciiTheme="minorHAnsi" w:hAnsiTheme="minorHAnsi" w:cstheme="minorHAnsi"/>
                <w:sz w:val="20"/>
                <w:szCs w:val="20"/>
              </w:rPr>
              <w:t>, which specify that:</w:t>
            </w:r>
          </w:p>
        </w:tc>
        <w:tc>
          <w:tcPr>
            <w:tcW w:w="2127" w:type="dxa"/>
            <w:tcBorders>
              <w:top w:val="dashSmallGap" w:sz="4" w:space="0" w:color="auto"/>
              <w:bottom w:val="dotted" w:sz="4" w:space="0" w:color="auto"/>
            </w:tcBorders>
          </w:tcPr>
          <w:p w:rsidR="001E06C3" w:rsidRPr="001E06C3" w:rsidRDefault="001E06C3" w:rsidP="001E06C3">
            <w:pPr>
              <w:rPr>
                <w:rFonts w:asciiTheme="minorHAnsi" w:hAnsiTheme="minorHAnsi" w:cstheme="minorHAnsi"/>
                <w:sz w:val="20"/>
                <w:szCs w:val="20"/>
              </w:rPr>
            </w:pPr>
          </w:p>
        </w:tc>
        <w:tc>
          <w:tcPr>
            <w:tcW w:w="1269" w:type="dxa"/>
            <w:tcBorders>
              <w:top w:val="dashSmallGap" w:sz="4" w:space="0" w:color="auto"/>
              <w:bottom w:val="dotted"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otted" w:sz="4" w:space="0" w:color="auto"/>
              <w:bottom w:val="dotted"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 xml:space="preserve">~ </w:t>
            </w:r>
            <w:r w:rsidRPr="00314F8D">
              <w:rPr>
                <w:rFonts w:asciiTheme="minorHAnsi" w:hAnsiTheme="minorHAnsi" w:cstheme="minorHAnsi"/>
                <w:sz w:val="20"/>
                <w:szCs w:val="20"/>
              </w:rPr>
              <w:t>great weight should be given to conserving and enhancing landscape and scenic beauty in AONBs;</w:t>
            </w:r>
          </w:p>
        </w:tc>
        <w:tc>
          <w:tcPr>
            <w:tcW w:w="2127" w:type="dxa"/>
            <w:tcBorders>
              <w:top w:val="dotted" w:sz="4" w:space="0" w:color="auto"/>
              <w:bottom w:val="dotted" w:sz="4" w:space="0" w:color="auto"/>
            </w:tcBorders>
            <w:shd w:val="clear" w:color="auto" w:fill="92D050"/>
          </w:tcPr>
          <w:p w:rsidR="001E06C3" w:rsidRPr="001E06C3" w:rsidRDefault="0077223A" w:rsidP="001E06C3">
            <w:pPr>
              <w:rPr>
                <w:rFonts w:asciiTheme="minorHAnsi" w:hAnsiTheme="minorHAnsi" w:cstheme="minorHAnsi"/>
                <w:sz w:val="20"/>
                <w:szCs w:val="20"/>
              </w:rPr>
            </w:pPr>
            <w:r>
              <w:rPr>
                <w:rFonts w:asciiTheme="minorHAnsi" w:hAnsiTheme="minorHAnsi" w:cstheme="minorHAnsi"/>
                <w:sz w:val="20"/>
                <w:szCs w:val="20"/>
              </w:rPr>
              <w:t>100%</w:t>
            </w:r>
          </w:p>
        </w:tc>
        <w:tc>
          <w:tcPr>
            <w:tcW w:w="1269" w:type="dxa"/>
            <w:tcBorders>
              <w:top w:val="dotted" w:sz="4" w:space="0" w:color="auto"/>
              <w:bottom w:val="dotted"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otted" w:sz="4" w:space="0" w:color="auto"/>
              <w:bottom w:val="dotted"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 xml:space="preserve">~ </w:t>
            </w:r>
            <w:r w:rsidRPr="00314F8D">
              <w:rPr>
                <w:rFonts w:asciiTheme="minorHAnsi" w:hAnsiTheme="minorHAnsi" w:cstheme="minorHAnsi"/>
                <w:sz w:val="20"/>
                <w:szCs w:val="20"/>
              </w:rPr>
              <w:t>AONBs have the highest status of protection in relation to conserving and enhancing landscape and scenic beauty;</w:t>
            </w:r>
          </w:p>
        </w:tc>
        <w:tc>
          <w:tcPr>
            <w:tcW w:w="2127" w:type="dxa"/>
            <w:tcBorders>
              <w:top w:val="dotted" w:sz="4" w:space="0" w:color="auto"/>
              <w:bottom w:val="dotted" w:sz="4" w:space="0" w:color="auto"/>
            </w:tcBorders>
            <w:shd w:val="clear" w:color="auto" w:fill="92D050"/>
          </w:tcPr>
          <w:p w:rsidR="001E06C3" w:rsidRPr="001E06C3" w:rsidRDefault="006C3229" w:rsidP="001E06C3">
            <w:pPr>
              <w:rPr>
                <w:rFonts w:asciiTheme="minorHAnsi" w:hAnsiTheme="minorHAnsi" w:cstheme="minorHAnsi"/>
                <w:sz w:val="20"/>
                <w:szCs w:val="20"/>
              </w:rPr>
            </w:pPr>
            <w:r>
              <w:rPr>
                <w:rFonts w:asciiTheme="minorHAnsi" w:hAnsiTheme="minorHAnsi" w:cstheme="minorHAnsi"/>
                <w:sz w:val="20"/>
                <w:szCs w:val="20"/>
              </w:rPr>
              <w:t>86%</w:t>
            </w:r>
          </w:p>
        </w:tc>
        <w:tc>
          <w:tcPr>
            <w:tcW w:w="1269" w:type="dxa"/>
            <w:tcBorders>
              <w:top w:val="dotted" w:sz="4" w:space="0" w:color="auto"/>
              <w:bottom w:val="dotted"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otted" w:sz="4" w:space="0" w:color="auto"/>
              <w:bottom w:val="dotted"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 xml:space="preserve">~ </w:t>
            </w:r>
            <w:r w:rsidRPr="00314F8D">
              <w:rPr>
                <w:rFonts w:asciiTheme="minorHAnsi" w:hAnsiTheme="minorHAnsi" w:cstheme="minorHAnsi"/>
                <w:sz w:val="20"/>
                <w:szCs w:val="20"/>
              </w:rPr>
              <w:t>the scale and extent of development in AONBs should be limited</w:t>
            </w:r>
          </w:p>
        </w:tc>
        <w:tc>
          <w:tcPr>
            <w:tcW w:w="2127" w:type="dxa"/>
            <w:tcBorders>
              <w:top w:val="dotted" w:sz="4" w:space="0" w:color="auto"/>
              <w:bottom w:val="dotted" w:sz="4" w:space="0" w:color="auto"/>
            </w:tcBorders>
            <w:shd w:val="clear" w:color="auto" w:fill="FF0000"/>
          </w:tcPr>
          <w:p w:rsidR="001E06C3" w:rsidRPr="001E06C3" w:rsidRDefault="006C3229" w:rsidP="001E06C3">
            <w:pPr>
              <w:rPr>
                <w:rFonts w:asciiTheme="minorHAnsi" w:hAnsiTheme="minorHAnsi" w:cstheme="minorHAnsi"/>
                <w:sz w:val="20"/>
                <w:szCs w:val="20"/>
              </w:rPr>
            </w:pPr>
            <w:r>
              <w:rPr>
                <w:rFonts w:asciiTheme="minorHAnsi" w:hAnsiTheme="minorHAnsi" w:cstheme="minorHAnsi"/>
                <w:sz w:val="20"/>
                <w:szCs w:val="20"/>
              </w:rPr>
              <w:t>29%</w:t>
            </w:r>
          </w:p>
        </w:tc>
        <w:tc>
          <w:tcPr>
            <w:tcW w:w="1269" w:type="dxa"/>
            <w:tcBorders>
              <w:top w:val="dotted" w:sz="4" w:space="0" w:color="auto"/>
              <w:bottom w:val="dotted"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otted" w:sz="4" w:space="0" w:color="auto"/>
              <w:bottom w:val="dashSmallGap" w:sz="4" w:space="0" w:color="auto"/>
            </w:tcBorders>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 xml:space="preserve">~ </w:t>
            </w:r>
            <w:r w:rsidRPr="00314F8D">
              <w:rPr>
                <w:rFonts w:asciiTheme="minorHAnsi" w:hAnsiTheme="minorHAnsi" w:cstheme="minorHAnsi"/>
                <w:sz w:val="20"/>
                <w:szCs w:val="20"/>
              </w:rPr>
              <w:t>planning permission should be refused for major development in AONBs other than in exceptional circumstances and where it can be demonstrated that the development is in the public interest</w:t>
            </w:r>
            <w:r>
              <w:rPr>
                <w:rFonts w:asciiTheme="minorHAnsi" w:hAnsiTheme="minorHAnsi" w:cstheme="minorHAnsi"/>
                <w:sz w:val="20"/>
                <w:szCs w:val="20"/>
              </w:rPr>
              <w:t xml:space="preserve">; </w:t>
            </w:r>
          </w:p>
        </w:tc>
        <w:tc>
          <w:tcPr>
            <w:tcW w:w="2127" w:type="dxa"/>
            <w:tcBorders>
              <w:top w:val="dotted" w:sz="4" w:space="0" w:color="auto"/>
              <w:bottom w:val="dashSmallGap" w:sz="4" w:space="0" w:color="auto"/>
            </w:tcBorders>
          </w:tcPr>
          <w:p w:rsidR="001E06C3" w:rsidRPr="001E06C3" w:rsidRDefault="006C3229" w:rsidP="001E06C3">
            <w:pPr>
              <w:rPr>
                <w:rFonts w:asciiTheme="minorHAnsi" w:hAnsiTheme="minorHAnsi" w:cstheme="minorHAnsi"/>
                <w:sz w:val="20"/>
                <w:szCs w:val="20"/>
              </w:rPr>
            </w:pPr>
            <w:r w:rsidRPr="0091779B">
              <w:rPr>
                <w:rFonts w:asciiTheme="minorHAnsi" w:hAnsiTheme="minorHAnsi" w:cstheme="minorHAnsi"/>
                <w:color w:val="E36C0A" w:themeColor="accent6" w:themeShade="BF"/>
                <w:sz w:val="20"/>
                <w:szCs w:val="20"/>
              </w:rPr>
              <w:t>71%</w:t>
            </w:r>
            <w:r w:rsidR="00205701" w:rsidRPr="0091779B">
              <w:rPr>
                <w:rFonts w:asciiTheme="minorHAnsi" w:hAnsiTheme="minorHAnsi" w:cstheme="minorHAnsi"/>
                <w:color w:val="E36C0A" w:themeColor="accent6" w:themeShade="BF"/>
                <w:sz w:val="20"/>
                <w:szCs w:val="20"/>
              </w:rPr>
              <w:t xml:space="preserve"> </w:t>
            </w:r>
            <w:r w:rsidR="00205701">
              <w:rPr>
                <w:rFonts w:asciiTheme="minorHAnsi" w:hAnsiTheme="minorHAnsi" w:cstheme="minorHAnsi"/>
                <w:sz w:val="20"/>
                <w:szCs w:val="20"/>
              </w:rPr>
              <w:t xml:space="preserve">addressed the issue; </w:t>
            </w:r>
            <w:r w:rsidR="00205701" w:rsidRPr="00205701">
              <w:rPr>
                <w:rFonts w:asciiTheme="minorHAnsi" w:hAnsiTheme="minorHAnsi" w:cstheme="minorHAnsi"/>
                <w:color w:val="FF0000"/>
                <w:sz w:val="20"/>
                <w:szCs w:val="20"/>
              </w:rPr>
              <w:t xml:space="preserve">14% </w:t>
            </w:r>
            <w:r w:rsidR="00205701">
              <w:rPr>
                <w:rFonts w:asciiTheme="minorHAnsi" w:hAnsiTheme="minorHAnsi" w:cstheme="minorHAnsi"/>
                <w:sz w:val="20"/>
                <w:szCs w:val="20"/>
              </w:rPr>
              <w:t>identified as being major dev</w:t>
            </w:r>
          </w:p>
        </w:tc>
        <w:tc>
          <w:tcPr>
            <w:tcW w:w="1269" w:type="dxa"/>
            <w:tcBorders>
              <w:top w:val="dotted" w:sz="4" w:space="0" w:color="auto"/>
              <w:bottom w:val="dashSmallGap" w:sz="4" w:space="0" w:color="auto"/>
            </w:tcBorders>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Borders>
              <w:top w:val="dashSmallGap" w:sz="4" w:space="0" w:color="auto"/>
            </w:tcBorders>
          </w:tcPr>
          <w:p w:rsidR="00314F8D" w:rsidRPr="00314F8D" w:rsidRDefault="00314F8D" w:rsidP="00314F8D">
            <w:pPr>
              <w:rPr>
                <w:rFonts w:asciiTheme="minorHAnsi" w:hAnsiTheme="minorHAnsi" w:cstheme="minorHAnsi"/>
                <w:sz w:val="20"/>
                <w:szCs w:val="20"/>
              </w:rPr>
            </w:pPr>
            <w:r>
              <w:rPr>
                <w:rFonts w:asciiTheme="minorHAnsi" w:hAnsiTheme="minorHAnsi" w:cstheme="minorHAnsi"/>
                <w:sz w:val="20"/>
                <w:szCs w:val="20"/>
              </w:rPr>
              <w:t xml:space="preserve">~ </w:t>
            </w:r>
            <w:r w:rsidRPr="00314F8D">
              <w:rPr>
                <w:rFonts w:asciiTheme="minorHAnsi" w:hAnsiTheme="minorHAnsi" w:cstheme="minorHAnsi"/>
                <w:sz w:val="20"/>
                <w:szCs w:val="20"/>
              </w:rPr>
              <w:t>applications for major development should include an assessment of</w:t>
            </w:r>
            <w:r>
              <w:rPr>
                <w:rFonts w:asciiTheme="minorHAnsi" w:hAnsiTheme="minorHAnsi" w:cstheme="minorHAnsi"/>
                <w:sz w:val="20"/>
                <w:szCs w:val="20"/>
              </w:rPr>
              <w:t>: (a) need; (b) cost of –</w:t>
            </w:r>
            <w:r w:rsidR="00205701">
              <w:rPr>
                <w:rFonts w:asciiTheme="minorHAnsi" w:hAnsiTheme="minorHAnsi" w:cstheme="minorHAnsi"/>
                <w:sz w:val="20"/>
                <w:szCs w:val="20"/>
              </w:rPr>
              <w:t xml:space="preserve"> </w:t>
            </w:r>
            <w:r>
              <w:rPr>
                <w:rFonts w:asciiTheme="minorHAnsi" w:hAnsiTheme="minorHAnsi" w:cstheme="minorHAnsi"/>
                <w:sz w:val="20"/>
                <w:szCs w:val="20"/>
              </w:rPr>
              <w:t>and scope for – developing outside the AONB; (c) detrimental effects on the environment, landscape and recreational opportunities.</w:t>
            </w:r>
          </w:p>
          <w:p w:rsidR="001E06C3" w:rsidRDefault="001E06C3" w:rsidP="001E06C3">
            <w:pPr>
              <w:rPr>
                <w:rFonts w:asciiTheme="minorHAnsi" w:hAnsiTheme="minorHAnsi" w:cstheme="minorHAnsi"/>
                <w:sz w:val="20"/>
                <w:szCs w:val="20"/>
              </w:rPr>
            </w:pPr>
          </w:p>
        </w:tc>
        <w:tc>
          <w:tcPr>
            <w:tcW w:w="2127" w:type="dxa"/>
            <w:tcBorders>
              <w:top w:val="dashSmallGap" w:sz="4" w:space="0" w:color="auto"/>
            </w:tcBorders>
          </w:tcPr>
          <w:p w:rsidR="00205701" w:rsidRPr="00205701" w:rsidRDefault="00205701" w:rsidP="001E06C3">
            <w:pPr>
              <w:rPr>
                <w:rFonts w:asciiTheme="minorHAnsi" w:hAnsiTheme="minorHAnsi" w:cstheme="minorHAnsi"/>
                <w:b/>
                <w:sz w:val="20"/>
                <w:szCs w:val="20"/>
              </w:rPr>
            </w:pPr>
            <w:r w:rsidRPr="00205701">
              <w:rPr>
                <w:rFonts w:asciiTheme="minorHAnsi" w:hAnsiTheme="minorHAnsi" w:cstheme="minorHAnsi"/>
                <w:b/>
                <w:sz w:val="20"/>
                <w:szCs w:val="20"/>
              </w:rPr>
              <w:t xml:space="preserve">Need: </w:t>
            </w:r>
          </w:p>
          <w:p w:rsidR="006C3229" w:rsidRDefault="00205701" w:rsidP="001E06C3">
            <w:pPr>
              <w:rPr>
                <w:rFonts w:asciiTheme="minorHAnsi" w:hAnsiTheme="minorHAnsi" w:cstheme="minorHAnsi"/>
                <w:sz w:val="20"/>
                <w:szCs w:val="20"/>
              </w:rPr>
            </w:pPr>
            <w:r>
              <w:rPr>
                <w:rFonts w:asciiTheme="minorHAnsi" w:hAnsiTheme="minorHAnsi" w:cstheme="minorHAnsi"/>
                <w:sz w:val="20"/>
                <w:szCs w:val="20"/>
              </w:rPr>
              <w:t xml:space="preserve">All = </w:t>
            </w:r>
            <w:r w:rsidR="006C3229" w:rsidRPr="00205701">
              <w:rPr>
                <w:rFonts w:asciiTheme="minorHAnsi" w:hAnsiTheme="minorHAnsi" w:cstheme="minorHAnsi"/>
                <w:color w:val="00B050"/>
                <w:sz w:val="20"/>
                <w:szCs w:val="20"/>
              </w:rPr>
              <w:t>86%</w:t>
            </w:r>
            <w:r w:rsidRPr="00205701">
              <w:rPr>
                <w:rFonts w:asciiTheme="minorHAnsi" w:hAnsiTheme="minorHAnsi" w:cstheme="minorHAnsi"/>
                <w:color w:val="00B050"/>
                <w:sz w:val="20"/>
                <w:szCs w:val="20"/>
              </w:rPr>
              <w:t xml:space="preserve">; </w:t>
            </w:r>
            <w:r>
              <w:rPr>
                <w:rFonts w:asciiTheme="minorHAnsi" w:hAnsiTheme="minorHAnsi" w:cstheme="minorHAnsi"/>
                <w:sz w:val="20"/>
                <w:szCs w:val="20"/>
              </w:rPr>
              <w:t xml:space="preserve">major dev = </w:t>
            </w:r>
            <w:r w:rsidRPr="00205701">
              <w:rPr>
                <w:rFonts w:asciiTheme="minorHAnsi" w:hAnsiTheme="minorHAnsi" w:cstheme="minorHAnsi"/>
                <w:color w:val="00B050"/>
                <w:sz w:val="20"/>
                <w:szCs w:val="20"/>
              </w:rPr>
              <w:t xml:space="preserve">100% </w:t>
            </w:r>
            <w:r>
              <w:rPr>
                <w:rFonts w:asciiTheme="minorHAnsi" w:hAnsiTheme="minorHAnsi" w:cstheme="minorHAnsi"/>
                <w:sz w:val="20"/>
                <w:szCs w:val="20"/>
              </w:rPr>
              <w:t>(i.e. 1)</w:t>
            </w:r>
          </w:p>
          <w:p w:rsidR="006C3229" w:rsidRDefault="00205701" w:rsidP="00205701">
            <w:pPr>
              <w:rPr>
                <w:rFonts w:asciiTheme="minorHAnsi" w:hAnsiTheme="minorHAnsi" w:cstheme="minorHAnsi"/>
                <w:sz w:val="20"/>
                <w:szCs w:val="20"/>
              </w:rPr>
            </w:pPr>
            <w:r w:rsidRPr="00205701">
              <w:rPr>
                <w:rFonts w:asciiTheme="minorHAnsi" w:hAnsiTheme="minorHAnsi" w:cstheme="minorHAnsi"/>
                <w:b/>
                <w:sz w:val="20"/>
                <w:szCs w:val="20"/>
              </w:rPr>
              <w:t>Location:</w:t>
            </w:r>
            <w:r>
              <w:rPr>
                <w:rFonts w:asciiTheme="minorHAnsi" w:hAnsiTheme="minorHAnsi" w:cstheme="minorHAnsi"/>
                <w:sz w:val="20"/>
                <w:szCs w:val="20"/>
              </w:rPr>
              <w:t xml:space="preserve"> All = </w:t>
            </w:r>
            <w:r w:rsidRPr="00205701">
              <w:rPr>
                <w:rFonts w:asciiTheme="minorHAnsi" w:hAnsiTheme="minorHAnsi" w:cstheme="minorHAnsi"/>
                <w:color w:val="FF0000"/>
                <w:sz w:val="20"/>
                <w:szCs w:val="20"/>
              </w:rPr>
              <w:t xml:space="preserve">29%; </w:t>
            </w:r>
            <w:r>
              <w:rPr>
                <w:rFonts w:asciiTheme="minorHAnsi" w:hAnsiTheme="minorHAnsi" w:cstheme="minorHAnsi"/>
                <w:sz w:val="20"/>
                <w:szCs w:val="20"/>
              </w:rPr>
              <w:t xml:space="preserve">major dev = </w:t>
            </w:r>
            <w:r w:rsidRPr="00205701">
              <w:rPr>
                <w:rFonts w:asciiTheme="minorHAnsi" w:hAnsiTheme="minorHAnsi" w:cstheme="minorHAnsi"/>
                <w:color w:val="00B050"/>
                <w:sz w:val="20"/>
                <w:szCs w:val="20"/>
              </w:rPr>
              <w:t xml:space="preserve">100% </w:t>
            </w:r>
            <w:r>
              <w:rPr>
                <w:rFonts w:asciiTheme="minorHAnsi" w:hAnsiTheme="minorHAnsi" w:cstheme="minorHAnsi"/>
                <w:sz w:val="20"/>
                <w:szCs w:val="20"/>
              </w:rPr>
              <w:t xml:space="preserve">(i.e. 1) </w:t>
            </w:r>
          </w:p>
          <w:p w:rsidR="00205701" w:rsidRPr="001E06C3" w:rsidRDefault="00205701" w:rsidP="00205701">
            <w:pPr>
              <w:rPr>
                <w:rFonts w:asciiTheme="minorHAnsi" w:hAnsiTheme="minorHAnsi" w:cstheme="minorHAnsi"/>
                <w:sz w:val="20"/>
                <w:szCs w:val="20"/>
              </w:rPr>
            </w:pPr>
            <w:r w:rsidRPr="00205701">
              <w:rPr>
                <w:rFonts w:asciiTheme="minorHAnsi" w:hAnsiTheme="minorHAnsi" w:cstheme="minorHAnsi"/>
                <w:b/>
                <w:sz w:val="20"/>
                <w:szCs w:val="20"/>
              </w:rPr>
              <w:t>Impact:</w:t>
            </w:r>
            <w:r>
              <w:rPr>
                <w:rFonts w:asciiTheme="minorHAnsi" w:hAnsiTheme="minorHAnsi" w:cstheme="minorHAnsi"/>
                <w:sz w:val="20"/>
                <w:szCs w:val="20"/>
              </w:rPr>
              <w:t xml:space="preserve"> see ‘adverse impacts’ above.</w:t>
            </w:r>
          </w:p>
        </w:tc>
        <w:tc>
          <w:tcPr>
            <w:tcW w:w="1269" w:type="dxa"/>
            <w:tcBorders>
              <w:top w:val="dashSmallGap" w:sz="4" w:space="0" w:color="auto"/>
            </w:tcBorders>
            <w:shd w:val="clear" w:color="auto" w:fill="auto"/>
          </w:tcPr>
          <w:p w:rsidR="00205701" w:rsidRPr="001E06C3" w:rsidRDefault="00205701" w:rsidP="001E06C3">
            <w:pPr>
              <w:rPr>
                <w:rFonts w:asciiTheme="minorHAnsi" w:hAnsiTheme="minorHAnsi" w:cstheme="minorHAnsi"/>
                <w:sz w:val="20"/>
                <w:szCs w:val="20"/>
              </w:rPr>
            </w:pPr>
          </w:p>
        </w:tc>
      </w:tr>
      <w:tr w:rsidR="00205701" w:rsidTr="0091779B">
        <w:tc>
          <w:tcPr>
            <w:tcW w:w="6232" w:type="dxa"/>
          </w:tcPr>
          <w:p w:rsidR="00205701" w:rsidRDefault="00205701" w:rsidP="001E06C3">
            <w:pPr>
              <w:rPr>
                <w:rFonts w:asciiTheme="minorHAnsi" w:hAnsiTheme="minorHAnsi" w:cstheme="minorHAnsi"/>
                <w:sz w:val="20"/>
                <w:szCs w:val="20"/>
              </w:rPr>
            </w:pPr>
            <w:r>
              <w:rPr>
                <w:rFonts w:asciiTheme="minorHAnsi" w:hAnsiTheme="minorHAnsi" w:cstheme="minorHAnsi"/>
                <w:sz w:val="20"/>
                <w:szCs w:val="20"/>
              </w:rPr>
              <w:t>The AONB (or Landscape Character) Policy in the Local Plan</w:t>
            </w:r>
          </w:p>
        </w:tc>
        <w:tc>
          <w:tcPr>
            <w:tcW w:w="2127" w:type="dxa"/>
            <w:shd w:val="clear" w:color="auto" w:fill="92D050"/>
          </w:tcPr>
          <w:p w:rsidR="00205701"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100%</w:t>
            </w:r>
          </w:p>
        </w:tc>
        <w:tc>
          <w:tcPr>
            <w:tcW w:w="1269" w:type="dxa"/>
            <w:shd w:val="clear" w:color="auto" w:fill="auto"/>
          </w:tcPr>
          <w:p w:rsidR="00205701" w:rsidRPr="001E06C3" w:rsidRDefault="00205701" w:rsidP="001E06C3">
            <w:pPr>
              <w:rPr>
                <w:rFonts w:asciiTheme="minorHAnsi" w:hAnsiTheme="minorHAnsi" w:cstheme="minorHAnsi"/>
                <w:sz w:val="20"/>
                <w:szCs w:val="20"/>
              </w:rPr>
            </w:pPr>
          </w:p>
        </w:tc>
      </w:tr>
      <w:tr w:rsidR="001E06C3" w:rsidTr="0091779B">
        <w:tc>
          <w:tcPr>
            <w:tcW w:w="6232" w:type="dxa"/>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The AONB Management Plan</w:t>
            </w:r>
          </w:p>
        </w:tc>
        <w:tc>
          <w:tcPr>
            <w:tcW w:w="2127" w:type="dxa"/>
            <w:shd w:val="clear" w:color="auto" w:fill="FFC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71%</w:t>
            </w:r>
          </w:p>
        </w:tc>
        <w:tc>
          <w:tcPr>
            <w:tcW w:w="1269" w:type="dxa"/>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 xml:space="preserve">CCB guidance </w:t>
            </w:r>
          </w:p>
        </w:tc>
        <w:tc>
          <w:tcPr>
            <w:tcW w:w="2127" w:type="dxa"/>
            <w:shd w:val="clear" w:color="auto" w:fill="FFC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57% (but 2 of these (28%) only referred to AONB Landscape Character Assessment)</w:t>
            </w:r>
          </w:p>
        </w:tc>
        <w:tc>
          <w:tcPr>
            <w:tcW w:w="1269" w:type="dxa"/>
            <w:shd w:val="clear" w:color="auto" w:fill="auto"/>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314F8D" w:rsidP="001E06C3">
            <w:pPr>
              <w:rPr>
                <w:rFonts w:asciiTheme="minorHAnsi" w:hAnsiTheme="minorHAnsi" w:cstheme="minorHAnsi"/>
                <w:sz w:val="20"/>
                <w:szCs w:val="20"/>
              </w:rPr>
            </w:pPr>
            <w:r>
              <w:rPr>
                <w:rFonts w:asciiTheme="minorHAnsi" w:hAnsiTheme="minorHAnsi" w:cstheme="minorHAnsi"/>
                <w:sz w:val="20"/>
                <w:szCs w:val="20"/>
              </w:rPr>
              <w:t>AONB special qualities</w:t>
            </w:r>
          </w:p>
        </w:tc>
        <w:tc>
          <w:tcPr>
            <w:tcW w:w="2127" w:type="dxa"/>
            <w:shd w:val="clear" w:color="auto" w:fill="FF0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29%</w:t>
            </w:r>
          </w:p>
        </w:tc>
        <w:tc>
          <w:tcPr>
            <w:tcW w:w="1269" w:type="dxa"/>
            <w:shd w:val="clear" w:color="auto" w:fill="auto"/>
          </w:tcPr>
          <w:p w:rsidR="001E06C3" w:rsidRPr="001E06C3" w:rsidRDefault="001E06C3" w:rsidP="001E06C3">
            <w:pPr>
              <w:rPr>
                <w:rFonts w:asciiTheme="minorHAnsi" w:hAnsiTheme="minorHAnsi" w:cstheme="minorHAnsi"/>
                <w:sz w:val="20"/>
                <w:szCs w:val="20"/>
              </w:rPr>
            </w:pPr>
          </w:p>
        </w:tc>
      </w:tr>
      <w:tr w:rsidR="00CA24FA" w:rsidTr="0091779B">
        <w:tc>
          <w:tcPr>
            <w:tcW w:w="6232" w:type="dxa"/>
          </w:tcPr>
          <w:p w:rsidR="00CA24FA" w:rsidRPr="00CA24FA" w:rsidRDefault="00CA24FA" w:rsidP="001E06C3">
            <w:pPr>
              <w:rPr>
                <w:rFonts w:asciiTheme="minorHAnsi" w:hAnsiTheme="minorHAnsi" w:cstheme="minorHAnsi"/>
                <w:b/>
                <w:sz w:val="20"/>
                <w:szCs w:val="20"/>
              </w:rPr>
            </w:pPr>
            <w:r w:rsidRPr="00CA24FA">
              <w:rPr>
                <w:rFonts w:asciiTheme="minorHAnsi" w:hAnsiTheme="minorHAnsi" w:cstheme="minorHAnsi"/>
                <w:b/>
                <w:sz w:val="20"/>
                <w:szCs w:val="20"/>
              </w:rPr>
              <w:t>EIA</w:t>
            </w:r>
          </w:p>
        </w:tc>
        <w:tc>
          <w:tcPr>
            <w:tcW w:w="2127" w:type="dxa"/>
          </w:tcPr>
          <w:p w:rsidR="00CA24FA" w:rsidRPr="001E06C3" w:rsidRDefault="00CA24FA" w:rsidP="001E06C3">
            <w:pPr>
              <w:rPr>
                <w:rFonts w:asciiTheme="minorHAnsi" w:hAnsiTheme="minorHAnsi" w:cstheme="minorHAnsi"/>
                <w:sz w:val="20"/>
                <w:szCs w:val="20"/>
              </w:rPr>
            </w:pPr>
          </w:p>
        </w:tc>
        <w:tc>
          <w:tcPr>
            <w:tcW w:w="1269" w:type="dxa"/>
            <w:shd w:val="clear" w:color="auto" w:fill="auto"/>
          </w:tcPr>
          <w:p w:rsidR="00CA24FA" w:rsidRPr="001E06C3" w:rsidRDefault="00CA24FA" w:rsidP="001E06C3">
            <w:pPr>
              <w:rPr>
                <w:rFonts w:asciiTheme="minorHAnsi" w:hAnsiTheme="minorHAnsi" w:cstheme="minorHAnsi"/>
                <w:sz w:val="20"/>
                <w:szCs w:val="20"/>
              </w:rPr>
            </w:pPr>
          </w:p>
        </w:tc>
      </w:tr>
      <w:tr w:rsidR="00CA24FA" w:rsidTr="0091779B">
        <w:tc>
          <w:tcPr>
            <w:tcW w:w="6232" w:type="dxa"/>
          </w:tcPr>
          <w:p w:rsidR="00CA24FA" w:rsidRDefault="00CA24FA" w:rsidP="001E06C3">
            <w:pPr>
              <w:rPr>
                <w:rFonts w:asciiTheme="minorHAnsi" w:hAnsiTheme="minorHAnsi" w:cstheme="minorHAnsi"/>
                <w:sz w:val="20"/>
                <w:szCs w:val="20"/>
              </w:rPr>
            </w:pPr>
            <w:r>
              <w:rPr>
                <w:rFonts w:asciiTheme="minorHAnsi" w:hAnsiTheme="minorHAnsi" w:cstheme="minorHAnsi"/>
                <w:sz w:val="20"/>
                <w:szCs w:val="20"/>
              </w:rPr>
              <w:t>EIA screening opinion provided</w:t>
            </w:r>
          </w:p>
        </w:tc>
        <w:tc>
          <w:tcPr>
            <w:tcW w:w="2127" w:type="dxa"/>
            <w:shd w:val="clear" w:color="auto" w:fill="FF0000"/>
          </w:tcPr>
          <w:p w:rsidR="00CA24FA"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29%</w:t>
            </w:r>
          </w:p>
        </w:tc>
        <w:tc>
          <w:tcPr>
            <w:tcW w:w="1269" w:type="dxa"/>
            <w:shd w:val="clear" w:color="auto" w:fill="auto"/>
          </w:tcPr>
          <w:p w:rsidR="00CA24FA" w:rsidRPr="001E06C3" w:rsidRDefault="00CA24FA" w:rsidP="001E06C3">
            <w:pPr>
              <w:rPr>
                <w:rFonts w:asciiTheme="minorHAnsi" w:hAnsiTheme="minorHAnsi" w:cstheme="minorHAnsi"/>
                <w:sz w:val="20"/>
                <w:szCs w:val="20"/>
              </w:rPr>
            </w:pPr>
          </w:p>
        </w:tc>
      </w:tr>
      <w:tr w:rsidR="00CA24FA" w:rsidTr="0091779B">
        <w:tc>
          <w:tcPr>
            <w:tcW w:w="6232" w:type="dxa"/>
          </w:tcPr>
          <w:p w:rsidR="00CA24FA" w:rsidRDefault="00CA24FA" w:rsidP="001E06C3">
            <w:pPr>
              <w:rPr>
                <w:rFonts w:asciiTheme="minorHAnsi" w:hAnsiTheme="minorHAnsi" w:cstheme="minorHAnsi"/>
                <w:sz w:val="20"/>
                <w:szCs w:val="20"/>
              </w:rPr>
            </w:pPr>
            <w:r>
              <w:rPr>
                <w:rFonts w:asciiTheme="minorHAnsi" w:hAnsiTheme="minorHAnsi" w:cstheme="minorHAnsi"/>
                <w:sz w:val="20"/>
                <w:szCs w:val="20"/>
              </w:rPr>
              <w:t>EIA required</w:t>
            </w:r>
          </w:p>
        </w:tc>
        <w:tc>
          <w:tcPr>
            <w:tcW w:w="2127" w:type="dxa"/>
            <w:shd w:val="clear" w:color="auto" w:fill="FF0000"/>
          </w:tcPr>
          <w:p w:rsidR="00CA24FA"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0%</w:t>
            </w:r>
          </w:p>
        </w:tc>
        <w:tc>
          <w:tcPr>
            <w:tcW w:w="1269" w:type="dxa"/>
          </w:tcPr>
          <w:p w:rsidR="00CA24FA" w:rsidRPr="001E06C3" w:rsidRDefault="00CA24FA" w:rsidP="001E06C3">
            <w:pPr>
              <w:rPr>
                <w:rFonts w:asciiTheme="minorHAnsi" w:hAnsiTheme="minorHAnsi" w:cstheme="minorHAnsi"/>
                <w:sz w:val="20"/>
                <w:szCs w:val="20"/>
              </w:rPr>
            </w:pPr>
          </w:p>
        </w:tc>
      </w:tr>
      <w:tr w:rsidR="001E06C3" w:rsidTr="00205701">
        <w:tc>
          <w:tcPr>
            <w:tcW w:w="6232" w:type="dxa"/>
          </w:tcPr>
          <w:p w:rsidR="001E06C3" w:rsidRPr="00314F8D" w:rsidRDefault="00314F8D" w:rsidP="001E06C3">
            <w:pPr>
              <w:rPr>
                <w:rFonts w:asciiTheme="minorHAnsi" w:hAnsiTheme="minorHAnsi" w:cstheme="minorHAnsi"/>
                <w:b/>
                <w:sz w:val="20"/>
                <w:szCs w:val="20"/>
              </w:rPr>
            </w:pPr>
            <w:r w:rsidRPr="00314F8D">
              <w:rPr>
                <w:rFonts w:asciiTheme="minorHAnsi" w:hAnsiTheme="minorHAnsi" w:cstheme="minorHAnsi"/>
                <w:b/>
                <w:sz w:val="20"/>
                <w:szCs w:val="20"/>
              </w:rPr>
              <w:t>Decision making</w:t>
            </w:r>
          </w:p>
        </w:tc>
        <w:tc>
          <w:tcPr>
            <w:tcW w:w="2127" w:type="dxa"/>
          </w:tcPr>
          <w:p w:rsidR="001E06C3" w:rsidRPr="001E06C3" w:rsidRDefault="001E06C3" w:rsidP="001E06C3">
            <w:pPr>
              <w:rPr>
                <w:rFonts w:asciiTheme="minorHAnsi" w:hAnsiTheme="minorHAnsi" w:cstheme="minorHAnsi"/>
                <w:sz w:val="20"/>
                <w:szCs w:val="20"/>
              </w:rPr>
            </w:pPr>
          </w:p>
        </w:tc>
        <w:tc>
          <w:tcPr>
            <w:tcW w:w="1269" w:type="dxa"/>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91779B" w:rsidP="001E06C3">
            <w:pPr>
              <w:rPr>
                <w:rFonts w:asciiTheme="minorHAnsi" w:hAnsiTheme="minorHAnsi" w:cstheme="minorHAnsi"/>
                <w:sz w:val="20"/>
                <w:szCs w:val="20"/>
              </w:rPr>
            </w:pPr>
            <w:r>
              <w:rPr>
                <w:rFonts w:asciiTheme="minorHAnsi" w:hAnsiTheme="minorHAnsi" w:cstheme="minorHAnsi"/>
                <w:sz w:val="20"/>
                <w:szCs w:val="20"/>
              </w:rPr>
              <w:t>Decided at committee level</w:t>
            </w:r>
          </w:p>
        </w:tc>
        <w:tc>
          <w:tcPr>
            <w:tcW w:w="2127" w:type="dxa"/>
            <w:shd w:val="clear" w:color="auto" w:fill="FF0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43%</w:t>
            </w:r>
          </w:p>
        </w:tc>
        <w:tc>
          <w:tcPr>
            <w:tcW w:w="1269" w:type="dxa"/>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825B9F" w:rsidP="001E06C3">
            <w:pPr>
              <w:rPr>
                <w:rFonts w:asciiTheme="minorHAnsi" w:hAnsiTheme="minorHAnsi" w:cstheme="minorHAnsi"/>
                <w:sz w:val="20"/>
                <w:szCs w:val="20"/>
              </w:rPr>
            </w:pPr>
            <w:r>
              <w:rPr>
                <w:rFonts w:asciiTheme="minorHAnsi" w:hAnsiTheme="minorHAnsi" w:cstheme="minorHAnsi"/>
                <w:sz w:val="20"/>
                <w:szCs w:val="20"/>
              </w:rPr>
              <w:t>~ I</w:t>
            </w:r>
            <w:r w:rsidR="00CA24FA">
              <w:rPr>
                <w:rFonts w:asciiTheme="minorHAnsi" w:hAnsiTheme="minorHAnsi" w:cstheme="minorHAnsi"/>
                <w:sz w:val="20"/>
                <w:szCs w:val="20"/>
              </w:rPr>
              <w:t>f committee level decision, was the officer’s recommendation in line with CCB recommendations?</w:t>
            </w:r>
          </w:p>
        </w:tc>
        <w:tc>
          <w:tcPr>
            <w:tcW w:w="2127" w:type="dxa"/>
            <w:shd w:val="clear" w:color="auto" w:fill="FF0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0%</w:t>
            </w:r>
          </w:p>
        </w:tc>
        <w:tc>
          <w:tcPr>
            <w:tcW w:w="1269" w:type="dxa"/>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91779B" w:rsidP="001E06C3">
            <w:pPr>
              <w:rPr>
                <w:rFonts w:asciiTheme="minorHAnsi" w:hAnsiTheme="minorHAnsi" w:cstheme="minorHAnsi"/>
                <w:sz w:val="20"/>
                <w:szCs w:val="20"/>
              </w:rPr>
            </w:pPr>
            <w:r>
              <w:rPr>
                <w:rFonts w:asciiTheme="minorHAnsi" w:hAnsiTheme="minorHAnsi" w:cstheme="minorHAnsi"/>
                <w:sz w:val="20"/>
                <w:szCs w:val="20"/>
              </w:rPr>
              <w:t>Not permitted</w:t>
            </w:r>
          </w:p>
        </w:tc>
        <w:tc>
          <w:tcPr>
            <w:tcW w:w="2127" w:type="dxa"/>
            <w:shd w:val="clear" w:color="auto" w:fill="FF0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14%</w:t>
            </w:r>
          </w:p>
        </w:tc>
        <w:tc>
          <w:tcPr>
            <w:tcW w:w="1269" w:type="dxa"/>
          </w:tcPr>
          <w:p w:rsidR="001E06C3" w:rsidRPr="001E06C3" w:rsidRDefault="001E06C3" w:rsidP="001E06C3">
            <w:pPr>
              <w:rPr>
                <w:rFonts w:asciiTheme="minorHAnsi" w:hAnsiTheme="minorHAnsi" w:cstheme="minorHAnsi"/>
                <w:sz w:val="20"/>
                <w:szCs w:val="20"/>
              </w:rPr>
            </w:pPr>
          </w:p>
        </w:tc>
      </w:tr>
      <w:tr w:rsidR="001E06C3" w:rsidTr="0091779B">
        <w:tc>
          <w:tcPr>
            <w:tcW w:w="6232" w:type="dxa"/>
          </w:tcPr>
          <w:p w:rsidR="001E06C3" w:rsidRDefault="00CA24FA" w:rsidP="001E06C3">
            <w:pPr>
              <w:rPr>
                <w:rFonts w:asciiTheme="minorHAnsi" w:hAnsiTheme="minorHAnsi" w:cstheme="minorHAnsi"/>
                <w:sz w:val="20"/>
                <w:szCs w:val="20"/>
              </w:rPr>
            </w:pPr>
            <w:r>
              <w:rPr>
                <w:rFonts w:asciiTheme="minorHAnsi" w:hAnsiTheme="minorHAnsi" w:cstheme="minorHAnsi"/>
                <w:sz w:val="20"/>
                <w:szCs w:val="20"/>
              </w:rPr>
              <w:t>Decision in line with CCB recommendations</w:t>
            </w:r>
          </w:p>
        </w:tc>
        <w:tc>
          <w:tcPr>
            <w:tcW w:w="2127" w:type="dxa"/>
            <w:shd w:val="clear" w:color="auto" w:fill="FF0000"/>
          </w:tcPr>
          <w:p w:rsidR="001E06C3" w:rsidRPr="001E06C3" w:rsidRDefault="0091779B" w:rsidP="001E06C3">
            <w:pPr>
              <w:rPr>
                <w:rFonts w:asciiTheme="minorHAnsi" w:hAnsiTheme="minorHAnsi" w:cstheme="minorHAnsi"/>
                <w:sz w:val="20"/>
                <w:szCs w:val="20"/>
              </w:rPr>
            </w:pPr>
            <w:r>
              <w:rPr>
                <w:rFonts w:asciiTheme="minorHAnsi" w:hAnsiTheme="minorHAnsi" w:cstheme="minorHAnsi"/>
                <w:sz w:val="20"/>
                <w:szCs w:val="20"/>
              </w:rPr>
              <w:t>14%</w:t>
            </w:r>
          </w:p>
        </w:tc>
        <w:tc>
          <w:tcPr>
            <w:tcW w:w="1269" w:type="dxa"/>
          </w:tcPr>
          <w:p w:rsidR="001E06C3" w:rsidRPr="001E06C3" w:rsidRDefault="001E06C3" w:rsidP="001E06C3">
            <w:pPr>
              <w:rPr>
                <w:rFonts w:asciiTheme="minorHAnsi" w:hAnsiTheme="minorHAnsi" w:cstheme="minorHAnsi"/>
                <w:sz w:val="20"/>
                <w:szCs w:val="20"/>
              </w:rPr>
            </w:pPr>
          </w:p>
        </w:tc>
      </w:tr>
    </w:tbl>
    <w:p w:rsidR="009B01D8" w:rsidRPr="001E06C3" w:rsidRDefault="009B01D8" w:rsidP="00B1144B">
      <w:pPr>
        <w:rPr>
          <w:rFonts w:ascii="Arial" w:hAnsi="Arial" w:cs="Arial"/>
        </w:rPr>
      </w:pPr>
    </w:p>
    <w:sectPr w:rsidR="009B01D8" w:rsidRPr="001E06C3" w:rsidSect="00C84C18">
      <w:footerReference w:type="default" r:id="rId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88" w:rsidRDefault="009C2588" w:rsidP="00C84C18">
      <w:r>
        <w:separator/>
      </w:r>
    </w:p>
  </w:endnote>
  <w:endnote w:type="continuationSeparator" w:id="0">
    <w:p w:rsidR="009C2588" w:rsidRDefault="009C2588" w:rsidP="00C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697860"/>
      <w:docPartObj>
        <w:docPartGallery w:val="Page Numbers (Bottom of Page)"/>
        <w:docPartUnique/>
      </w:docPartObj>
    </w:sdtPr>
    <w:sdtEndPr>
      <w:rPr>
        <w:noProof/>
      </w:rPr>
    </w:sdtEndPr>
    <w:sdtContent>
      <w:p w:rsidR="00F84DBB" w:rsidRDefault="00F84DBB">
        <w:pPr>
          <w:pStyle w:val="Footer"/>
          <w:jc w:val="center"/>
        </w:pPr>
        <w:r>
          <w:fldChar w:fldCharType="begin"/>
        </w:r>
        <w:r>
          <w:instrText xml:space="preserve"> PAGE   \* MERGEFORMAT </w:instrText>
        </w:r>
        <w:r>
          <w:fldChar w:fldCharType="separate"/>
        </w:r>
        <w:r w:rsidR="003E1305">
          <w:rPr>
            <w:noProof/>
          </w:rPr>
          <w:t>1</w:t>
        </w:r>
        <w:r>
          <w:rPr>
            <w:noProof/>
          </w:rPr>
          <w:fldChar w:fldCharType="end"/>
        </w:r>
      </w:p>
    </w:sdtContent>
  </w:sdt>
  <w:p w:rsidR="00F84DBB" w:rsidRDefault="00F84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88" w:rsidRDefault="009C2588" w:rsidP="00C84C18">
      <w:r>
        <w:separator/>
      </w:r>
    </w:p>
  </w:footnote>
  <w:footnote w:type="continuationSeparator" w:id="0">
    <w:p w:rsidR="009C2588" w:rsidRDefault="009C2588" w:rsidP="00C8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FC8"/>
    <w:multiLevelType w:val="hybridMultilevel"/>
    <w:tmpl w:val="0046B7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E445C5"/>
    <w:multiLevelType w:val="hybridMultilevel"/>
    <w:tmpl w:val="C8B8D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1F342C"/>
    <w:multiLevelType w:val="hybridMultilevel"/>
    <w:tmpl w:val="B4ACCE3C"/>
    <w:lvl w:ilvl="0" w:tplc="ECAAD6B0">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5C21D4F"/>
    <w:multiLevelType w:val="hybridMultilevel"/>
    <w:tmpl w:val="342CD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914A39"/>
    <w:multiLevelType w:val="hybridMultilevel"/>
    <w:tmpl w:val="4E405E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37C3E"/>
    <w:multiLevelType w:val="hybridMultilevel"/>
    <w:tmpl w:val="5824D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7C873BF"/>
    <w:multiLevelType w:val="hybridMultilevel"/>
    <w:tmpl w:val="5C744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E7D49E8"/>
    <w:multiLevelType w:val="hybridMultilevel"/>
    <w:tmpl w:val="FC2025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02BA9"/>
    <w:rsid w:val="0000724E"/>
    <w:rsid w:val="00011B0A"/>
    <w:rsid w:val="00051F06"/>
    <w:rsid w:val="000610A8"/>
    <w:rsid w:val="0006737A"/>
    <w:rsid w:val="0006763C"/>
    <w:rsid w:val="00080EA3"/>
    <w:rsid w:val="0009559B"/>
    <w:rsid w:val="000B47AF"/>
    <w:rsid w:val="000C20E6"/>
    <w:rsid w:val="000C5BC3"/>
    <w:rsid w:val="000C644D"/>
    <w:rsid w:val="000F0FB1"/>
    <w:rsid w:val="0010342E"/>
    <w:rsid w:val="00114388"/>
    <w:rsid w:val="00126A4D"/>
    <w:rsid w:val="001514FD"/>
    <w:rsid w:val="001542C7"/>
    <w:rsid w:val="00166F3B"/>
    <w:rsid w:val="0017444D"/>
    <w:rsid w:val="0018706F"/>
    <w:rsid w:val="001A4393"/>
    <w:rsid w:val="001A5B00"/>
    <w:rsid w:val="001B684A"/>
    <w:rsid w:val="001C11B0"/>
    <w:rsid w:val="001D388C"/>
    <w:rsid w:val="001D4939"/>
    <w:rsid w:val="001E06C3"/>
    <w:rsid w:val="001E403F"/>
    <w:rsid w:val="001E692D"/>
    <w:rsid w:val="001F5978"/>
    <w:rsid w:val="001F7C10"/>
    <w:rsid w:val="001F7CA0"/>
    <w:rsid w:val="00205701"/>
    <w:rsid w:val="00213113"/>
    <w:rsid w:val="00213B49"/>
    <w:rsid w:val="00214801"/>
    <w:rsid w:val="00234040"/>
    <w:rsid w:val="00272352"/>
    <w:rsid w:val="00292EFD"/>
    <w:rsid w:val="002958A5"/>
    <w:rsid w:val="002E14A7"/>
    <w:rsid w:val="002E4DDE"/>
    <w:rsid w:val="002E715F"/>
    <w:rsid w:val="002F70B7"/>
    <w:rsid w:val="003009AB"/>
    <w:rsid w:val="003035D1"/>
    <w:rsid w:val="003146CE"/>
    <w:rsid w:val="00314F8D"/>
    <w:rsid w:val="00324C43"/>
    <w:rsid w:val="003265DA"/>
    <w:rsid w:val="00330372"/>
    <w:rsid w:val="00351556"/>
    <w:rsid w:val="0035365F"/>
    <w:rsid w:val="00370E01"/>
    <w:rsid w:val="003772C0"/>
    <w:rsid w:val="00390F26"/>
    <w:rsid w:val="00392C67"/>
    <w:rsid w:val="003A3C76"/>
    <w:rsid w:val="003D218E"/>
    <w:rsid w:val="003D359F"/>
    <w:rsid w:val="003D6FE8"/>
    <w:rsid w:val="003E1305"/>
    <w:rsid w:val="0041211D"/>
    <w:rsid w:val="00436DB9"/>
    <w:rsid w:val="004555BF"/>
    <w:rsid w:val="00464B06"/>
    <w:rsid w:val="00466C43"/>
    <w:rsid w:val="00473AD7"/>
    <w:rsid w:val="00473F6C"/>
    <w:rsid w:val="004740F9"/>
    <w:rsid w:val="004962B7"/>
    <w:rsid w:val="004A1812"/>
    <w:rsid w:val="004B4D5A"/>
    <w:rsid w:val="004D1A68"/>
    <w:rsid w:val="004D28C5"/>
    <w:rsid w:val="004D2CC1"/>
    <w:rsid w:val="004D65DD"/>
    <w:rsid w:val="004E3B57"/>
    <w:rsid w:val="004E689C"/>
    <w:rsid w:val="00500475"/>
    <w:rsid w:val="005028DC"/>
    <w:rsid w:val="00506D33"/>
    <w:rsid w:val="005110C4"/>
    <w:rsid w:val="005177BD"/>
    <w:rsid w:val="00517E2A"/>
    <w:rsid w:val="00520FAF"/>
    <w:rsid w:val="005A3E5F"/>
    <w:rsid w:val="005A6988"/>
    <w:rsid w:val="005A7631"/>
    <w:rsid w:val="005B09A0"/>
    <w:rsid w:val="005D3181"/>
    <w:rsid w:val="005D705F"/>
    <w:rsid w:val="005E33CC"/>
    <w:rsid w:val="005F278D"/>
    <w:rsid w:val="005F32FB"/>
    <w:rsid w:val="005F3485"/>
    <w:rsid w:val="0061376D"/>
    <w:rsid w:val="0061500B"/>
    <w:rsid w:val="00620072"/>
    <w:rsid w:val="0062693E"/>
    <w:rsid w:val="00635594"/>
    <w:rsid w:val="00647E00"/>
    <w:rsid w:val="00652B47"/>
    <w:rsid w:val="00655532"/>
    <w:rsid w:val="006567AE"/>
    <w:rsid w:val="00660480"/>
    <w:rsid w:val="0069244D"/>
    <w:rsid w:val="00692559"/>
    <w:rsid w:val="006932DD"/>
    <w:rsid w:val="006B03C4"/>
    <w:rsid w:val="006B1D89"/>
    <w:rsid w:val="006C3229"/>
    <w:rsid w:val="00706861"/>
    <w:rsid w:val="00716112"/>
    <w:rsid w:val="00732356"/>
    <w:rsid w:val="00733D9A"/>
    <w:rsid w:val="00735147"/>
    <w:rsid w:val="00746077"/>
    <w:rsid w:val="0075397B"/>
    <w:rsid w:val="007606B4"/>
    <w:rsid w:val="00766388"/>
    <w:rsid w:val="0077223A"/>
    <w:rsid w:val="00772D5F"/>
    <w:rsid w:val="00790D8F"/>
    <w:rsid w:val="0079768A"/>
    <w:rsid w:val="007C53C8"/>
    <w:rsid w:val="007D7461"/>
    <w:rsid w:val="007E4D6B"/>
    <w:rsid w:val="007E68D4"/>
    <w:rsid w:val="007F1F74"/>
    <w:rsid w:val="007F6C6D"/>
    <w:rsid w:val="00824410"/>
    <w:rsid w:val="00825B9F"/>
    <w:rsid w:val="00837276"/>
    <w:rsid w:val="008460FB"/>
    <w:rsid w:val="00876E5B"/>
    <w:rsid w:val="00897341"/>
    <w:rsid w:val="008A4B8D"/>
    <w:rsid w:val="008D39E9"/>
    <w:rsid w:val="008E0451"/>
    <w:rsid w:val="008E1BAA"/>
    <w:rsid w:val="008E2DB0"/>
    <w:rsid w:val="008E73A1"/>
    <w:rsid w:val="00904A01"/>
    <w:rsid w:val="009113B2"/>
    <w:rsid w:val="009118CB"/>
    <w:rsid w:val="00915654"/>
    <w:rsid w:val="0091779B"/>
    <w:rsid w:val="00922A3F"/>
    <w:rsid w:val="009620D9"/>
    <w:rsid w:val="00976298"/>
    <w:rsid w:val="009A23DA"/>
    <w:rsid w:val="009A334E"/>
    <w:rsid w:val="009B01D8"/>
    <w:rsid w:val="009C2588"/>
    <w:rsid w:val="009E50A9"/>
    <w:rsid w:val="009E554F"/>
    <w:rsid w:val="009F2637"/>
    <w:rsid w:val="009F33C6"/>
    <w:rsid w:val="00A05643"/>
    <w:rsid w:val="00A11CAA"/>
    <w:rsid w:val="00A33D6C"/>
    <w:rsid w:val="00A43EDA"/>
    <w:rsid w:val="00A80630"/>
    <w:rsid w:val="00AA77A6"/>
    <w:rsid w:val="00AC0065"/>
    <w:rsid w:val="00AC163A"/>
    <w:rsid w:val="00AC20DC"/>
    <w:rsid w:val="00AD4010"/>
    <w:rsid w:val="00AD6644"/>
    <w:rsid w:val="00AE522F"/>
    <w:rsid w:val="00AE70CC"/>
    <w:rsid w:val="00AF4527"/>
    <w:rsid w:val="00B00C6F"/>
    <w:rsid w:val="00B03F45"/>
    <w:rsid w:val="00B10BC8"/>
    <w:rsid w:val="00B1144B"/>
    <w:rsid w:val="00B16E4A"/>
    <w:rsid w:val="00B239E6"/>
    <w:rsid w:val="00B36662"/>
    <w:rsid w:val="00B412FD"/>
    <w:rsid w:val="00B4703F"/>
    <w:rsid w:val="00B50558"/>
    <w:rsid w:val="00B57F64"/>
    <w:rsid w:val="00B70CEA"/>
    <w:rsid w:val="00B82DE3"/>
    <w:rsid w:val="00B97A75"/>
    <w:rsid w:val="00BA77F4"/>
    <w:rsid w:val="00BB2C86"/>
    <w:rsid w:val="00BB4962"/>
    <w:rsid w:val="00BC37C2"/>
    <w:rsid w:val="00BC4F0B"/>
    <w:rsid w:val="00BD4531"/>
    <w:rsid w:val="00BD5B8C"/>
    <w:rsid w:val="00BE4C35"/>
    <w:rsid w:val="00C104DE"/>
    <w:rsid w:val="00C23A91"/>
    <w:rsid w:val="00C240D3"/>
    <w:rsid w:val="00C361EE"/>
    <w:rsid w:val="00C3663C"/>
    <w:rsid w:val="00C3788B"/>
    <w:rsid w:val="00C54804"/>
    <w:rsid w:val="00C55564"/>
    <w:rsid w:val="00C57C64"/>
    <w:rsid w:val="00C84C18"/>
    <w:rsid w:val="00C87C18"/>
    <w:rsid w:val="00C94B92"/>
    <w:rsid w:val="00CA24FA"/>
    <w:rsid w:val="00CA28F0"/>
    <w:rsid w:val="00CC2E3A"/>
    <w:rsid w:val="00CD10B7"/>
    <w:rsid w:val="00CE0624"/>
    <w:rsid w:val="00CE319C"/>
    <w:rsid w:val="00CE4248"/>
    <w:rsid w:val="00CF55AB"/>
    <w:rsid w:val="00CF6767"/>
    <w:rsid w:val="00D0125D"/>
    <w:rsid w:val="00D07374"/>
    <w:rsid w:val="00D10348"/>
    <w:rsid w:val="00D21A25"/>
    <w:rsid w:val="00D32ADE"/>
    <w:rsid w:val="00D43037"/>
    <w:rsid w:val="00D45DEF"/>
    <w:rsid w:val="00D53233"/>
    <w:rsid w:val="00D82A72"/>
    <w:rsid w:val="00DA1591"/>
    <w:rsid w:val="00DB00E2"/>
    <w:rsid w:val="00DB270A"/>
    <w:rsid w:val="00DC1559"/>
    <w:rsid w:val="00DC20AE"/>
    <w:rsid w:val="00DC4901"/>
    <w:rsid w:val="00DD7BFC"/>
    <w:rsid w:val="00DE3FC8"/>
    <w:rsid w:val="00DE46E1"/>
    <w:rsid w:val="00E21136"/>
    <w:rsid w:val="00E346F1"/>
    <w:rsid w:val="00E37691"/>
    <w:rsid w:val="00E74ABB"/>
    <w:rsid w:val="00E90BE3"/>
    <w:rsid w:val="00E942EA"/>
    <w:rsid w:val="00EA0AC8"/>
    <w:rsid w:val="00EB1BC6"/>
    <w:rsid w:val="00EB31A4"/>
    <w:rsid w:val="00EC3218"/>
    <w:rsid w:val="00EE3B5F"/>
    <w:rsid w:val="00F222C5"/>
    <w:rsid w:val="00F268E1"/>
    <w:rsid w:val="00F3142E"/>
    <w:rsid w:val="00F437BF"/>
    <w:rsid w:val="00F4739C"/>
    <w:rsid w:val="00F524CF"/>
    <w:rsid w:val="00F52DAB"/>
    <w:rsid w:val="00F54AF4"/>
    <w:rsid w:val="00F56CB1"/>
    <w:rsid w:val="00F6295B"/>
    <w:rsid w:val="00F84DBB"/>
    <w:rsid w:val="00FA287C"/>
    <w:rsid w:val="00FB2A9F"/>
    <w:rsid w:val="00FE006A"/>
    <w:rsid w:val="00FE14BD"/>
    <w:rsid w:val="00FF0672"/>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docId w15:val="{4317CCF5-C31D-42A5-8C11-5D2801E2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0724E"/>
    <w:pPr>
      <w:keepNext/>
      <w:autoSpaceDE w:val="0"/>
      <w:autoSpaceDN w:val="0"/>
      <w:adjustRightInd w:val="0"/>
      <w:outlineLvl w:val="0"/>
    </w:pPr>
    <w:rPr>
      <w:rFonts w:ascii="Arial" w:hAnsi="Arial" w:cs="Arial"/>
      <w:b/>
      <w:bCs/>
      <w:color w:val="000000"/>
      <w:lang w:val="en-US" w:eastAsia="en-US"/>
    </w:rPr>
  </w:style>
  <w:style w:type="paragraph" w:styleId="Heading2">
    <w:name w:val="heading 2"/>
    <w:basedOn w:val="Normal"/>
    <w:next w:val="Normal"/>
    <w:link w:val="Heading2Char"/>
    <w:qFormat/>
    <w:rsid w:val="0000724E"/>
    <w:pPr>
      <w:keepNext/>
      <w:outlineLvl w:val="1"/>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uiPriority w:val="99"/>
    <w:unhideWhenUsed/>
    <w:rsid w:val="00C84C18"/>
    <w:pPr>
      <w:tabs>
        <w:tab w:val="center" w:pos="4513"/>
        <w:tab w:val="right" w:pos="9026"/>
      </w:tabs>
    </w:pPr>
  </w:style>
  <w:style w:type="character" w:customStyle="1" w:styleId="HeaderChar">
    <w:name w:val="Header Char"/>
    <w:basedOn w:val="DefaultParagraphFont"/>
    <w:link w:val="Header"/>
    <w:uiPriority w:val="99"/>
    <w:rsid w:val="00C84C18"/>
    <w:rPr>
      <w:sz w:val="24"/>
      <w:szCs w:val="24"/>
    </w:rPr>
  </w:style>
  <w:style w:type="paragraph" w:styleId="Footer">
    <w:name w:val="footer"/>
    <w:basedOn w:val="Normal"/>
    <w:link w:val="FooterChar"/>
    <w:uiPriority w:val="99"/>
    <w:unhideWhenUsed/>
    <w:rsid w:val="00C84C18"/>
    <w:pPr>
      <w:tabs>
        <w:tab w:val="center" w:pos="4513"/>
        <w:tab w:val="right" w:pos="9026"/>
      </w:tabs>
    </w:pPr>
  </w:style>
  <w:style w:type="character" w:customStyle="1" w:styleId="FooterChar">
    <w:name w:val="Footer Char"/>
    <w:basedOn w:val="DefaultParagraphFont"/>
    <w:link w:val="Footer"/>
    <w:uiPriority w:val="99"/>
    <w:rsid w:val="00C84C18"/>
    <w:rPr>
      <w:sz w:val="24"/>
      <w:szCs w:val="24"/>
    </w:rPr>
  </w:style>
  <w:style w:type="paragraph" w:styleId="ListParagraph">
    <w:name w:val="List Paragraph"/>
    <w:basedOn w:val="Normal"/>
    <w:uiPriority w:val="34"/>
    <w:qFormat/>
    <w:rsid w:val="004D28C5"/>
    <w:pPr>
      <w:ind w:left="720"/>
      <w:contextualSpacing/>
    </w:pPr>
  </w:style>
  <w:style w:type="paragraph" w:styleId="FootnoteText">
    <w:name w:val="footnote text"/>
    <w:basedOn w:val="Normal"/>
    <w:link w:val="FootnoteTextChar"/>
    <w:rsid w:val="000C5BC3"/>
    <w:pPr>
      <w:spacing w:line="280" w:lineRule="atLeast"/>
    </w:pPr>
    <w:rPr>
      <w:rFonts w:ascii="Verdana" w:eastAsia="MS Mincho" w:hAnsi="Verdana"/>
      <w:sz w:val="20"/>
      <w:szCs w:val="20"/>
      <w:lang w:eastAsia="ja-JP"/>
    </w:rPr>
  </w:style>
  <w:style w:type="character" w:customStyle="1" w:styleId="FootnoteTextChar">
    <w:name w:val="Footnote Text Char"/>
    <w:basedOn w:val="DefaultParagraphFont"/>
    <w:link w:val="FootnoteText"/>
    <w:uiPriority w:val="99"/>
    <w:rsid w:val="000C5BC3"/>
    <w:rPr>
      <w:rFonts w:ascii="Verdana" w:eastAsia="MS Mincho" w:hAnsi="Verdana"/>
      <w:lang w:eastAsia="ja-JP"/>
    </w:rPr>
  </w:style>
  <w:style w:type="character" w:styleId="FootnoteReference">
    <w:name w:val="footnote reference"/>
    <w:rsid w:val="000C5BC3"/>
    <w:rPr>
      <w:vertAlign w:val="superscript"/>
    </w:rPr>
  </w:style>
  <w:style w:type="character" w:styleId="Hyperlink">
    <w:name w:val="Hyperlink"/>
    <w:basedOn w:val="DefaultParagraphFont"/>
    <w:uiPriority w:val="99"/>
    <w:unhideWhenUsed/>
    <w:rsid w:val="009F2637"/>
    <w:rPr>
      <w:color w:val="0000FF" w:themeColor="hyperlink"/>
      <w:u w:val="single"/>
    </w:rPr>
  </w:style>
  <w:style w:type="character" w:customStyle="1" w:styleId="Heading1Char">
    <w:name w:val="Heading 1 Char"/>
    <w:basedOn w:val="DefaultParagraphFont"/>
    <w:link w:val="Heading1"/>
    <w:rsid w:val="0000724E"/>
    <w:rPr>
      <w:rFonts w:ascii="Arial" w:hAnsi="Arial" w:cs="Arial"/>
      <w:b/>
      <w:bCs/>
      <w:color w:val="000000"/>
      <w:sz w:val="24"/>
      <w:szCs w:val="24"/>
      <w:lang w:val="en-US" w:eastAsia="en-US"/>
    </w:rPr>
  </w:style>
  <w:style w:type="character" w:customStyle="1" w:styleId="Heading2Char">
    <w:name w:val="Heading 2 Char"/>
    <w:basedOn w:val="DefaultParagraphFont"/>
    <w:link w:val="Heading2"/>
    <w:rsid w:val="0000724E"/>
    <w:rPr>
      <w:rFonts w:ascii="Arial" w:hAnsi="Arial"/>
      <w:b/>
      <w:bCs/>
      <w:sz w:val="24"/>
      <w:szCs w:val="24"/>
      <w:lang w:eastAsia="en-US"/>
    </w:rPr>
  </w:style>
  <w:style w:type="paragraph" w:styleId="BodyText">
    <w:name w:val="Body Text"/>
    <w:basedOn w:val="Normal"/>
    <w:link w:val="BodyTextChar"/>
    <w:rsid w:val="0000724E"/>
    <w:pPr>
      <w:autoSpaceDE w:val="0"/>
      <w:autoSpaceDN w:val="0"/>
      <w:adjustRightInd w:val="0"/>
    </w:pPr>
    <w:rPr>
      <w:rFonts w:ascii="Arial" w:hAnsi="Arial" w:cs="Arial"/>
      <w:color w:val="000000"/>
      <w:szCs w:val="23"/>
      <w:lang w:val="en-US" w:eastAsia="en-US"/>
    </w:rPr>
  </w:style>
  <w:style w:type="character" w:customStyle="1" w:styleId="BodyTextChar">
    <w:name w:val="Body Text Char"/>
    <w:basedOn w:val="DefaultParagraphFont"/>
    <w:link w:val="BodyText"/>
    <w:rsid w:val="0000724E"/>
    <w:rPr>
      <w:rFonts w:ascii="Arial" w:hAnsi="Arial" w:cs="Arial"/>
      <w:color w:val="000000"/>
      <w:sz w:val="24"/>
      <w:szCs w:val="23"/>
      <w:lang w:val="en-US" w:eastAsia="en-US"/>
    </w:rPr>
  </w:style>
  <w:style w:type="paragraph" w:styleId="BodyText3">
    <w:name w:val="Body Text 3"/>
    <w:basedOn w:val="Normal"/>
    <w:link w:val="BodyText3Char"/>
    <w:rsid w:val="0000724E"/>
    <w:pPr>
      <w:autoSpaceDE w:val="0"/>
      <w:autoSpaceDN w:val="0"/>
      <w:adjustRightInd w:val="0"/>
    </w:pPr>
    <w:rPr>
      <w:rFonts w:ascii="Arial" w:hAnsi="Arial" w:cs="Arial"/>
      <w:color w:val="FF0000"/>
      <w:szCs w:val="23"/>
      <w:lang w:val="en-US" w:eastAsia="en-US"/>
    </w:rPr>
  </w:style>
  <w:style w:type="character" w:customStyle="1" w:styleId="BodyText3Char">
    <w:name w:val="Body Text 3 Char"/>
    <w:basedOn w:val="DefaultParagraphFont"/>
    <w:link w:val="BodyText3"/>
    <w:rsid w:val="0000724E"/>
    <w:rPr>
      <w:rFonts w:ascii="Arial" w:hAnsi="Arial" w:cs="Arial"/>
      <w:color w:val="FF0000"/>
      <w:sz w:val="24"/>
      <w:szCs w:val="23"/>
      <w:lang w:val="en-US" w:eastAsia="en-US"/>
    </w:rPr>
  </w:style>
  <w:style w:type="table" w:styleId="TableGrid">
    <w:name w:val="Table Grid"/>
    <w:basedOn w:val="TableNormal"/>
    <w:uiPriority w:val="59"/>
    <w:rsid w:val="001E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9153">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291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2E49-6D3D-4809-9BAA-017061E0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1894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WODC</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John Mills</cp:lastModifiedBy>
  <cp:revision>7</cp:revision>
  <cp:lastPrinted>2019-09-06T17:40:00Z</cp:lastPrinted>
  <dcterms:created xsi:type="dcterms:W3CDTF">2019-09-06T14:00:00Z</dcterms:created>
  <dcterms:modified xsi:type="dcterms:W3CDTF">2019-09-06T17:54:00Z</dcterms:modified>
</cp:coreProperties>
</file>