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804" w:rsidRPr="00B1422E" w:rsidRDefault="008E7896" w:rsidP="00D84804">
      <w:pPr>
        <w:pStyle w:val="Heading1"/>
        <w:jc w:val="right"/>
        <w:rPr>
          <w:rFonts w:ascii="Arial" w:hAnsi="Arial" w:cs="Arial"/>
          <w:bCs/>
          <w:sz w:val="24"/>
        </w:rPr>
      </w:pPr>
      <w:bookmarkStart w:id="0" w:name="_GoBack"/>
      <w:bookmarkEnd w:id="0"/>
      <w:r>
        <w:rPr>
          <w:rFonts w:ascii="Arial" w:hAnsi="Arial" w:cs="Arial"/>
          <w:bCs/>
          <w:noProof/>
          <w:sz w:val="24"/>
        </w:rPr>
        <mc:AlternateContent>
          <mc:Choice Requires="wps">
            <w:drawing>
              <wp:anchor distT="0" distB="0" distL="114300" distR="114300" simplePos="0" relativeHeight="251657728" behindDoc="0" locked="0" layoutInCell="1" allowOverlap="1">
                <wp:simplePos x="0" y="0"/>
                <wp:positionH relativeFrom="column">
                  <wp:posOffset>4686300</wp:posOffset>
                </wp:positionH>
                <wp:positionV relativeFrom="paragraph">
                  <wp:posOffset>-342900</wp:posOffset>
                </wp:positionV>
                <wp:extent cx="1714500" cy="4578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8B1" w:rsidRDefault="008C68B1" w:rsidP="00D84804">
                            <w:pPr>
                              <w:jc w:val="center"/>
                              <w:rPr>
                                <w:rFonts w:ascii="Arial" w:hAnsi="Arial" w:cs="Arial"/>
                              </w:rPr>
                            </w:pPr>
                          </w:p>
                          <w:p w:rsidR="008C68B1" w:rsidRPr="000B6800" w:rsidRDefault="008C68B1" w:rsidP="00D84804">
                            <w:pPr>
                              <w:jc w:val="center"/>
                              <w:rPr>
                                <w:rFonts w:ascii="Arial" w:hAnsi="Arial" w:cs="Arial"/>
                              </w:rPr>
                            </w:pPr>
                            <w:r w:rsidRPr="00A1142E">
                              <w:rPr>
                                <w:rFonts w:ascii="Arial" w:hAnsi="Arial" w:cs="Arial"/>
                              </w:rPr>
                              <w:t>AGENDA ITEM</w:t>
                            </w:r>
                            <w:r w:rsidR="00E60880">
                              <w:rPr>
                                <w:rFonts w:ascii="Arial" w:hAnsi="Arial" w:cs="Arial"/>
                              </w:rPr>
                              <w:t xml:space="preserve"> 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9pt;margin-top:-27pt;width:135pt;height: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zggIAAA8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" stroked="f">
                <v:textbox>
                  <w:txbxContent>
                    <w:p w:rsidR="008C68B1" w:rsidRDefault="008C68B1" w:rsidP="00D84804">
                      <w:pPr>
                        <w:jc w:val="center"/>
                        <w:rPr>
                          <w:rFonts w:ascii="Arial" w:hAnsi="Arial" w:cs="Arial"/>
                        </w:rPr>
                      </w:pPr>
                    </w:p>
                    <w:p w:rsidR="008C68B1" w:rsidRPr="000B6800" w:rsidRDefault="008C68B1" w:rsidP="00D84804">
                      <w:pPr>
                        <w:jc w:val="center"/>
                        <w:rPr>
                          <w:rFonts w:ascii="Arial" w:hAnsi="Arial" w:cs="Arial"/>
                        </w:rPr>
                      </w:pPr>
                      <w:r w:rsidRPr="00A1142E">
                        <w:rPr>
                          <w:rFonts w:ascii="Arial" w:hAnsi="Arial" w:cs="Arial"/>
                        </w:rPr>
                        <w:t>AGENDA ITEM</w:t>
                      </w:r>
                      <w:r w:rsidR="00E60880">
                        <w:rPr>
                          <w:rFonts w:ascii="Arial" w:hAnsi="Arial" w:cs="Arial"/>
                        </w:rPr>
                        <w:t xml:space="preserve"> 17</w:t>
                      </w:r>
                    </w:p>
                  </w:txbxContent>
                </v:textbox>
              </v:shape>
            </w:pict>
          </mc:Fallback>
        </mc:AlternateContent>
      </w:r>
    </w:p>
    <w:p w:rsidR="00D84804" w:rsidRPr="00B1422E" w:rsidRDefault="00D84804" w:rsidP="00D84804">
      <w:pPr>
        <w:rPr>
          <w:lang w:eastAsia="en-GB"/>
        </w:rPr>
      </w:pPr>
    </w:p>
    <w:p w:rsidR="00D84804" w:rsidRPr="00B1422E" w:rsidRDefault="00D84804" w:rsidP="00D84804">
      <w:pPr>
        <w:pStyle w:val="Heading1"/>
        <w:rPr>
          <w:rFonts w:ascii="Arial" w:hAnsi="Arial" w:cs="Arial"/>
          <w:b/>
          <w:bCs/>
          <w:sz w:val="24"/>
        </w:rPr>
      </w:pPr>
      <w:r w:rsidRPr="00B1422E">
        <w:rPr>
          <w:rFonts w:ascii="Arial" w:hAnsi="Arial" w:cs="Arial"/>
          <w:b/>
          <w:bCs/>
          <w:sz w:val="24"/>
        </w:rPr>
        <w:t xml:space="preserve">SCHEME OF MEMBERS’ </w:t>
      </w:r>
      <w:r w:rsidRPr="00AA41F3">
        <w:rPr>
          <w:rFonts w:ascii="Arial" w:hAnsi="Arial" w:cs="Arial"/>
          <w:b/>
          <w:bCs/>
          <w:sz w:val="24"/>
        </w:rPr>
        <w:t>ALLOWA</w:t>
      </w:r>
      <w:r w:rsidR="00601F20" w:rsidRPr="00AA41F3">
        <w:rPr>
          <w:rFonts w:ascii="Arial" w:hAnsi="Arial" w:cs="Arial"/>
          <w:b/>
          <w:bCs/>
          <w:sz w:val="24"/>
        </w:rPr>
        <w:t>N</w:t>
      </w:r>
      <w:r w:rsidRPr="00AA41F3">
        <w:rPr>
          <w:rFonts w:ascii="Arial" w:hAnsi="Arial" w:cs="Arial"/>
          <w:b/>
          <w:bCs/>
          <w:sz w:val="24"/>
        </w:rPr>
        <w:t>CES 201</w:t>
      </w:r>
      <w:r w:rsidR="004F7418">
        <w:rPr>
          <w:rFonts w:ascii="Arial" w:hAnsi="Arial" w:cs="Arial"/>
          <w:b/>
          <w:bCs/>
          <w:sz w:val="24"/>
        </w:rPr>
        <w:t>9/20</w:t>
      </w:r>
    </w:p>
    <w:p w:rsidR="00D84804" w:rsidRDefault="00D84804" w:rsidP="00D84804">
      <w:pPr>
        <w:rPr>
          <w:rFonts w:ascii="Arial" w:hAnsi="Arial" w:cs="Arial"/>
        </w:rPr>
      </w:pPr>
    </w:p>
    <w:p w:rsidR="00D84804" w:rsidRDefault="00D84804" w:rsidP="00D84804">
      <w:pPr>
        <w:pStyle w:val="Heading2"/>
        <w:rPr>
          <w:b w:val="0"/>
          <w:bCs w:val="0"/>
        </w:rPr>
      </w:pPr>
      <w:r>
        <w:t>Summary:</w:t>
      </w:r>
      <w:r w:rsidR="00C54949">
        <w:t xml:space="preserve">   </w:t>
      </w:r>
      <w:r>
        <w:rPr>
          <w:b w:val="0"/>
          <w:bCs w:val="0"/>
        </w:rPr>
        <w:t>In accordance with the Local Authorities (Members’ Allowances) (England) Regulations 2003, as amended, the Board is required to operate a Members’ Allowances Scheme based on that offered by local authorities.</w:t>
      </w:r>
    </w:p>
    <w:p w:rsidR="00D84804" w:rsidRDefault="00D84804" w:rsidP="00D84804">
      <w:pPr>
        <w:rPr>
          <w:rFonts w:ascii="Arial" w:hAnsi="Arial" w:cs="Arial"/>
        </w:rPr>
      </w:pPr>
    </w:p>
    <w:p w:rsidR="004C4406" w:rsidRPr="004C4406" w:rsidRDefault="000C7EA9" w:rsidP="009C5411">
      <w:pPr>
        <w:rPr>
          <w:rFonts w:ascii="Arial" w:hAnsi="Arial" w:cs="Arial"/>
          <w:b/>
          <w:bCs/>
        </w:rPr>
      </w:pPr>
      <w:r>
        <w:rPr>
          <w:rFonts w:ascii="Arial" w:hAnsi="Arial" w:cs="Arial"/>
          <w:b/>
          <w:bCs/>
        </w:rPr>
        <w:t>Recommend</w:t>
      </w:r>
      <w:r w:rsidR="00CD0EAA">
        <w:rPr>
          <w:rFonts w:ascii="Arial" w:hAnsi="Arial" w:cs="Arial"/>
          <w:b/>
          <w:bCs/>
        </w:rPr>
        <w:t>ation</w:t>
      </w:r>
      <w:r>
        <w:rPr>
          <w:rFonts w:ascii="Arial" w:hAnsi="Arial" w:cs="Arial"/>
          <w:b/>
          <w:bCs/>
        </w:rPr>
        <w:t xml:space="preserve">: </w:t>
      </w:r>
      <w:r w:rsidR="008067C3">
        <w:rPr>
          <w:rFonts w:ascii="Arial" w:hAnsi="Arial" w:cs="Arial"/>
          <w:b/>
          <w:bCs/>
        </w:rPr>
        <w:t xml:space="preserve"> </w:t>
      </w:r>
      <w:r w:rsidR="004C4406" w:rsidRPr="004C4406">
        <w:rPr>
          <w:rFonts w:ascii="Arial" w:hAnsi="Arial" w:cs="Arial"/>
          <w:b/>
          <w:bCs/>
        </w:rPr>
        <w:t>That the Board approves a Scheme</w:t>
      </w:r>
      <w:r w:rsidR="00E24B7B">
        <w:rPr>
          <w:rFonts w:ascii="Arial" w:hAnsi="Arial" w:cs="Arial"/>
          <w:b/>
          <w:bCs/>
        </w:rPr>
        <w:t xml:space="preserve"> of Members’ Allowances for 201</w:t>
      </w:r>
      <w:r w:rsidR="006C0112">
        <w:rPr>
          <w:rFonts w:ascii="Arial" w:hAnsi="Arial" w:cs="Arial"/>
          <w:b/>
          <w:bCs/>
        </w:rPr>
        <w:t>9/20</w:t>
      </w:r>
      <w:r w:rsidR="00D4606F">
        <w:rPr>
          <w:rFonts w:ascii="Arial" w:hAnsi="Arial" w:cs="Arial"/>
          <w:b/>
          <w:bCs/>
        </w:rPr>
        <w:t>.</w:t>
      </w:r>
    </w:p>
    <w:p w:rsidR="00C54949" w:rsidRDefault="00C54949" w:rsidP="00D84804">
      <w:pPr>
        <w:rPr>
          <w:rFonts w:ascii="Arial" w:hAnsi="Arial" w:cs="Arial"/>
        </w:rPr>
      </w:pPr>
    </w:p>
    <w:p w:rsidR="00C54949" w:rsidRDefault="005B37DA" w:rsidP="00C54949">
      <w:pPr>
        <w:rPr>
          <w:rFonts w:ascii="Arial" w:hAnsi="Arial" w:cs="Arial"/>
        </w:rPr>
      </w:pPr>
      <w:r>
        <w:rPr>
          <w:rFonts w:ascii="Arial" w:hAnsi="Arial" w:cs="Arial"/>
          <w:b/>
          <w:bCs/>
        </w:rPr>
        <w:t>Officer Ref</w:t>
      </w:r>
      <w:r w:rsidR="00C54949">
        <w:rPr>
          <w:rFonts w:ascii="Arial" w:hAnsi="Arial" w:cs="Arial"/>
          <w:b/>
          <w:bCs/>
        </w:rPr>
        <w:t xml:space="preserve">:   </w:t>
      </w:r>
      <w:smartTag w:uri="urn:schemas-microsoft-com:office:smarttags" w:element="PersonName">
        <w:r w:rsidR="00C54949" w:rsidRPr="00C54949">
          <w:rPr>
            <w:rFonts w:ascii="Arial" w:hAnsi="Arial" w:cs="Arial"/>
            <w:bCs/>
          </w:rPr>
          <w:t>N</w:t>
        </w:r>
        <w:r w:rsidR="00C54949">
          <w:rPr>
            <w:rFonts w:ascii="Arial" w:hAnsi="Arial" w:cs="Arial"/>
          </w:rPr>
          <w:t>igel Adams</w:t>
        </w:r>
      </w:smartTag>
      <w:r w:rsidR="00C54949">
        <w:rPr>
          <w:rFonts w:ascii="Arial" w:hAnsi="Arial" w:cs="Arial"/>
        </w:rPr>
        <w:t>, Monitoring Officer</w:t>
      </w:r>
    </w:p>
    <w:p w:rsidR="00A763DC" w:rsidRDefault="00D84804" w:rsidP="00E72768">
      <w:pPr>
        <w:spacing w:before="120"/>
        <w:rPr>
          <w:rFonts w:ascii="Arial" w:hAnsi="Arial" w:cs="Arial"/>
        </w:rPr>
      </w:pPr>
      <w:r>
        <w:rPr>
          <w:rFonts w:ascii="Arial" w:hAnsi="Arial" w:cs="Arial"/>
        </w:rPr>
        <w:t xml:space="preserve"> </w:t>
      </w:r>
    </w:p>
    <w:p w:rsidR="00D84804" w:rsidRDefault="00D84804" w:rsidP="00D84804">
      <w:pPr>
        <w:pStyle w:val="Heading2"/>
      </w:pPr>
      <w:r>
        <w:t>Background</w:t>
      </w:r>
    </w:p>
    <w:p w:rsidR="00A763DC" w:rsidRDefault="00A763DC" w:rsidP="00D84804">
      <w:pPr>
        <w:pStyle w:val="BodyText"/>
        <w:tabs>
          <w:tab w:val="num" w:pos="2880"/>
        </w:tabs>
        <w:rPr>
          <w:sz w:val="24"/>
        </w:rPr>
      </w:pPr>
    </w:p>
    <w:p w:rsidR="00D84804" w:rsidRPr="00651A25" w:rsidRDefault="00F1221F" w:rsidP="00D84804">
      <w:pPr>
        <w:pStyle w:val="BodyText"/>
        <w:tabs>
          <w:tab w:val="left" w:pos="720"/>
          <w:tab w:val="num" w:pos="2880"/>
        </w:tabs>
        <w:ind w:left="720" w:hanging="720"/>
        <w:rPr>
          <w:sz w:val="24"/>
        </w:rPr>
      </w:pPr>
      <w:r>
        <w:rPr>
          <w:sz w:val="24"/>
        </w:rPr>
        <w:t>1.</w:t>
      </w:r>
      <w:r>
        <w:rPr>
          <w:sz w:val="24"/>
        </w:rPr>
        <w:tab/>
      </w:r>
      <w:r w:rsidR="00CD0EAA">
        <w:rPr>
          <w:sz w:val="24"/>
        </w:rPr>
        <w:t>The Board reviews its</w:t>
      </w:r>
      <w:r w:rsidR="00D84804" w:rsidRPr="00651A25">
        <w:rPr>
          <w:sz w:val="24"/>
        </w:rPr>
        <w:t xml:space="preserve"> </w:t>
      </w:r>
      <w:r w:rsidR="00562B96">
        <w:rPr>
          <w:sz w:val="24"/>
        </w:rPr>
        <w:t>s</w:t>
      </w:r>
      <w:r w:rsidR="00D84804" w:rsidRPr="00651A25">
        <w:rPr>
          <w:sz w:val="24"/>
        </w:rPr>
        <w:t xml:space="preserve">cheme of Members’ Allowances </w:t>
      </w:r>
      <w:r w:rsidR="00CD0EAA">
        <w:rPr>
          <w:sz w:val="24"/>
        </w:rPr>
        <w:t>on an annual basis</w:t>
      </w:r>
      <w:r>
        <w:rPr>
          <w:sz w:val="24"/>
        </w:rPr>
        <w:t xml:space="preserve">.  </w:t>
      </w:r>
    </w:p>
    <w:p w:rsidR="00D84804" w:rsidRPr="00D31303" w:rsidRDefault="00D84804" w:rsidP="00D84804">
      <w:pPr>
        <w:pStyle w:val="BodyText"/>
        <w:tabs>
          <w:tab w:val="num" w:pos="1440"/>
        </w:tabs>
        <w:rPr>
          <w:sz w:val="24"/>
        </w:rPr>
      </w:pPr>
    </w:p>
    <w:p w:rsidR="00D31303" w:rsidRDefault="00D84804" w:rsidP="00D31303">
      <w:pPr>
        <w:pStyle w:val="BodyText"/>
        <w:tabs>
          <w:tab w:val="left" w:pos="720"/>
          <w:tab w:val="num" w:pos="1440"/>
        </w:tabs>
        <w:ind w:left="720" w:hanging="720"/>
        <w:rPr>
          <w:sz w:val="24"/>
        </w:rPr>
      </w:pPr>
      <w:r w:rsidRPr="00D31303">
        <w:rPr>
          <w:sz w:val="24"/>
        </w:rPr>
        <w:t>2.</w:t>
      </w:r>
      <w:r w:rsidRPr="00D31303">
        <w:rPr>
          <w:sz w:val="24"/>
        </w:rPr>
        <w:tab/>
      </w:r>
      <w:r w:rsidRPr="00AA41F3">
        <w:rPr>
          <w:sz w:val="24"/>
        </w:rPr>
        <w:t xml:space="preserve">By way of background, </w:t>
      </w:r>
      <w:r w:rsidR="0036597F" w:rsidRPr="00AA41F3">
        <w:rPr>
          <w:sz w:val="24"/>
        </w:rPr>
        <w:t xml:space="preserve">the Board chose not to implement any increase and </w:t>
      </w:r>
      <w:r w:rsidR="00562B96" w:rsidRPr="00AA41F3">
        <w:rPr>
          <w:sz w:val="24"/>
        </w:rPr>
        <w:t xml:space="preserve">to </w:t>
      </w:r>
      <w:r w:rsidR="0036597F" w:rsidRPr="00AA41F3">
        <w:rPr>
          <w:sz w:val="24"/>
        </w:rPr>
        <w:t>retain allowance</w:t>
      </w:r>
      <w:r w:rsidR="003833E4" w:rsidRPr="00AA41F3">
        <w:rPr>
          <w:sz w:val="24"/>
        </w:rPr>
        <w:t xml:space="preserve">s </w:t>
      </w:r>
      <w:r w:rsidR="0036597F" w:rsidRPr="00AA41F3">
        <w:rPr>
          <w:sz w:val="24"/>
        </w:rPr>
        <w:t xml:space="preserve">at their </w:t>
      </w:r>
      <w:r w:rsidR="00690E93" w:rsidRPr="00AA41F3">
        <w:rPr>
          <w:sz w:val="24"/>
        </w:rPr>
        <w:t>2008/09</w:t>
      </w:r>
      <w:r w:rsidR="0036597F" w:rsidRPr="00AA41F3">
        <w:rPr>
          <w:sz w:val="24"/>
        </w:rPr>
        <w:t xml:space="preserve"> level</w:t>
      </w:r>
      <w:r w:rsidR="003833E4" w:rsidRPr="00AA41F3">
        <w:rPr>
          <w:sz w:val="24"/>
        </w:rPr>
        <w:t>s</w:t>
      </w:r>
      <w:r w:rsidR="00562B96" w:rsidRPr="00AA41F3">
        <w:rPr>
          <w:sz w:val="24"/>
        </w:rPr>
        <w:t xml:space="preserve"> for 2009/10 and 2010/11</w:t>
      </w:r>
      <w:r w:rsidR="0036597F" w:rsidRPr="00AA41F3">
        <w:rPr>
          <w:sz w:val="24"/>
        </w:rPr>
        <w:t xml:space="preserve">. </w:t>
      </w:r>
      <w:r w:rsidR="00D31303" w:rsidRPr="00AA41F3">
        <w:rPr>
          <w:sz w:val="24"/>
        </w:rPr>
        <w:t xml:space="preserve"> </w:t>
      </w:r>
      <w:r w:rsidR="00CD0EAA" w:rsidRPr="00AA41F3">
        <w:rPr>
          <w:sz w:val="24"/>
        </w:rPr>
        <w:t>For 2011/12</w:t>
      </w:r>
      <w:r w:rsidR="00D31303" w:rsidRPr="00AA41F3">
        <w:rPr>
          <w:sz w:val="24"/>
        </w:rPr>
        <w:t xml:space="preserve">, the Board endorsed the recommendation of the Executive Committee that a cut of 7.5% against the then current scheme be applied.  </w:t>
      </w:r>
      <w:r w:rsidR="00CD0EAA" w:rsidRPr="00AA41F3">
        <w:rPr>
          <w:sz w:val="24"/>
        </w:rPr>
        <w:t xml:space="preserve">No </w:t>
      </w:r>
      <w:r w:rsidR="00CD0EAA" w:rsidRPr="00E60880">
        <w:rPr>
          <w:sz w:val="24"/>
        </w:rPr>
        <w:t xml:space="preserve">changes were made for </w:t>
      </w:r>
      <w:r w:rsidR="000053AE" w:rsidRPr="00E60880">
        <w:rPr>
          <w:sz w:val="24"/>
        </w:rPr>
        <w:t xml:space="preserve">2012/13, 2013/14, </w:t>
      </w:r>
      <w:r w:rsidR="00503238" w:rsidRPr="00E60880">
        <w:rPr>
          <w:sz w:val="24"/>
        </w:rPr>
        <w:t>2014/15</w:t>
      </w:r>
      <w:r w:rsidR="008C68B1" w:rsidRPr="00E60880">
        <w:rPr>
          <w:sz w:val="24"/>
        </w:rPr>
        <w:t>,</w:t>
      </w:r>
      <w:r w:rsidR="000053AE" w:rsidRPr="00E60880">
        <w:rPr>
          <w:sz w:val="24"/>
        </w:rPr>
        <w:t xml:space="preserve"> 2015/16</w:t>
      </w:r>
      <w:r w:rsidR="00E60880" w:rsidRPr="00E60880">
        <w:rPr>
          <w:sz w:val="24"/>
        </w:rPr>
        <w:t xml:space="preserve">, </w:t>
      </w:r>
      <w:r w:rsidR="008C68B1" w:rsidRPr="00E60880">
        <w:rPr>
          <w:sz w:val="24"/>
        </w:rPr>
        <w:t xml:space="preserve">2016/17 </w:t>
      </w:r>
      <w:r w:rsidR="00E60880" w:rsidRPr="00E60880">
        <w:rPr>
          <w:sz w:val="24"/>
        </w:rPr>
        <w:t xml:space="preserve">or 2017/18 </w:t>
      </w:r>
      <w:r w:rsidR="008C68B1" w:rsidRPr="00E60880">
        <w:rPr>
          <w:sz w:val="24"/>
        </w:rPr>
        <w:t>(notwithstanding a nationally-agreed pay award for lo</w:t>
      </w:r>
      <w:r w:rsidR="00D4606F" w:rsidRPr="00E60880">
        <w:rPr>
          <w:sz w:val="24"/>
        </w:rPr>
        <w:t xml:space="preserve">cal government </w:t>
      </w:r>
      <w:r w:rsidR="00F94B81">
        <w:rPr>
          <w:sz w:val="24"/>
        </w:rPr>
        <w:t>of 1% for those last two</w:t>
      </w:r>
      <w:r w:rsidR="008C68B1" w:rsidRPr="00E60880">
        <w:rPr>
          <w:sz w:val="24"/>
        </w:rPr>
        <w:t xml:space="preserve"> year</w:t>
      </w:r>
      <w:r w:rsidR="00F94B81">
        <w:rPr>
          <w:sz w:val="24"/>
        </w:rPr>
        <w:t>s</w:t>
      </w:r>
      <w:r w:rsidR="008C68B1" w:rsidRPr="00E60880">
        <w:rPr>
          <w:sz w:val="24"/>
        </w:rPr>
        <w:t>).</w:t>
      </w:r>
    </w:p>
    <w:p w:rsidR="004F7418" w:rsidRPr="00646A53" w:rsidRDefault="004F7418" w:rsidP="00D31303">
      <w:pPr>
        <w:pStyle w:val="BodyText"/>
        <w:tabs>
          <w:tab w:val="left" w:pos="720"/>
          <w:tab w:val="num" w:pos="1440"/>
        </w:tabs>
        <w:ind w:left="720" w:hanging="720"/>
        <w:rPr>
          <w:sz w:val="24"/>
        </w:rPr>
      </w:pPr>
    </w:p>
    <w:p w:rsidR="004F7418" w:rsidRDefault="00646A53" w:rsidP="000E52B9">
      <w:pPr>
        <w:pStyle w:val="BodyText"/>
        <w:tabs>
          <w:tab w:val="left" w:pos="720"/>
          <w:tab w:val="num" w:pos="1440"/>
        </w:tabs>
        <w:ind w:left="720" w:hanging="720"/>
        <w:rPr>
          <w:sz w:val="24"/>
        </w:rPr>
      </w:pPr>
      <w:r w:rsidRPr="00646A53">
        <w:rPr>
          <w:sz w:val="24"/>
        </w:rPr>
        <w:t>3.</w:t>
      </w:r>
      <w:r w:rsidRPr="00646A53">
        <w:rPr>
          <w:sz w:val="24"/>
        </w:rPr>
        <w:tab/>
      </w:r>
      <w:r w:rsidR="000E52B9">
        <w:rPr>
          <w:sz w:val="24"/>
        </w:rPr>
        <w:t xml:space="preserve">At its Meeting </w:t>
      </w:r>
      <w:r w:rsidR="000E52B9" w:rsidRPr="000E52B9">
        <w:rPr>
          <w:sz w:val="24"/>
        </w:rPr>
        <w:t xml:space="preserve">on </w:t>
      </w:r>
      <w:r w:rsidR="004F7418" w:rsidRPr="000E52B9">
        <w:rPr>
          <w:sz w:val="24"/>
        </w:rPr>
        <w:t>22</w:t>
      </w:r>
      <w:r w:rsidR="004F7418" w:rsidRPr="000E52B9">
        <w:rPr>
          <w:sz w:val="24"/>
          <w:vertAlign w:val="superscript"/>
        </w:rPr>
        <w:t>nd</w:t>
      </w:r>
      <w:r w:rsidR="004F7418" w:rsidRPr="000E52B9">
        <w:rPr>
          <w:sz w:val="24"/>
        </w:rPr>
        <w:t xml:space="preserve"> March 2018</w:t>
      </w:r>
      <w:r w:rsidR="000E52B9">
        <w:rPr>
          <w:sz w:val="24"/>
        </w:rPr>
        <w:t>, having approved a revised member structure, the Board also revised its scheme of allowances</w:t>
      </w:r>
      <w:r w:rsidR="00DF5824">
        <w:rPr>
          <w:sz w:val="24"/>
        </w:rPr>
        <w:t xml:space="preserve"> as follows:-</w:t>
      </w:r>
    </w:p>
    <w:p w:rsidR="00DF5824" w:rsidRPr="000E52B9" w:rsidRDefault="00DF5824" w:rsidP="00FD5858">
      <w:pPr>
        <w:pStyle w:val="BodyText"/>
        <w:tabs>
          <w:tab w:val="left" w:pos="720"/>
          <w:tab w:val="num" w:pos="1440"/>
        </w:tabs>
        <w:rPr>
          <w:sz w:val="24"/>
        </w:rPr>
      </w:pPr>
    </w:p>
    <w:p w:rsidR="00DF5824" w:rsidRDefault="00DF5824" w:rsidP="00FD5858">
      <w:pPr>
        <w:pStyle w:val="ListParagraph"/>
        <w:numPr>
          <w:ilvl w:val="0"/>
          <w:numId w:val="4"/>
        </w:numPr>
        <w:tabs>
          <w:tab w:val="left" w:pos="720"/>
          <w:tab w:val="num" w:pos="2880"/>
        </w:tabs>
        <w:spacing w:line="240" w:lineRule="auto"/>
        <w:rPr>
          <w:rFonts w:ascii="Arial" w:hAnsi="Arial" w:cs="Arial"/>
          <w:sz w:val="24"/>
          <w:szCs w:val="24"/>
        </w:rPr>
      </w:pPr>
      <w:r>
        <w:rPr>
          <w:rFonts w:ascii="Arial" w:hAnsi="Arial" w:cs="Arial"/>
          <w:sz w:val="24"/>
          <w:szCs w:val="24"/>
        </w:rPr>
        <w:t xml:space="preserve">To increase the </w:t>
      </w:r>
      <w:r w:rsidRPr="009A6E39">
        <w:rPr>
          <w:rFonts w:ascii="Arial" w:hAnsi="Arial" w:cs="Arial"/>
          <w:sz w:val="24"/>
          <w:szCs w:val="24"/>
        </w:rPr>
        <w:t>bas</w:t>
      </w:r>
      <w:r>
        <w:rPr>
          <w:rFonts w:ascii="Arial" w:hAnsi="Arial" w:cs="Arial"/>
          <w:sz w:val="24"/>
          <w:szCs w:val="24"/>
        </w:rPr>
        <w:t xml:space="preserve">ic allowance to £300 </w:t>
      </w:r>
      <w:r w:rsidRPr="009A6E39">
        <w:rPr>
          <w:rFonts w:ascii="Arial" w:hAnsi="Arial" w:cs="Arial"/>
          <w:sz w:val="24"/>
          <w:szCs w:val="24"/>
        </w:rPr>
        <w:t xml:space="preserve">per annum per </w:t>
      </w:r>
      <w:r>
        <w:rPr>
          <w:rFonts w:ascii="Arial" w:hAnsi="Arial" w:cs="Arial"/>
          <w:sz w:val="24"/>
          <w:szCs w:val="24"/>
        </w:rPr>
        <w:t xml:space="preserve">Board </w:t>
      </w:r>
      <w:r w:rsidRPr="009A6E39">
        <w:rPr>
          <w:rFonts w:ascii="Arial" w:hAnsi="Arial" w:cs="Arial"/>
          <w:sz w:val="24"/>
          <w:szCs w:val="24"/>
        </w:rPr>
        <w:t>member</w:t>
      </w:r>
    </w:p>
    <w:p w:rsidR="00DF5824" w:rsidRPr="009A6E39" w:rsidRDefault="00DF5824" w:rsidP="00FD5858">
      <w:pPr>
        <w:pStyle w:val="ListParagraph"/>
        <w:numPr>
          <w:ilvl w:val="0"/>
          <w:numId w:val="4"/>
        </w:numPr>
        <w:tabs>
          <w:tab w:val="left" w:pos="720"/>
          <w:tab w:val="num" w:pos="2880"/>
        </w:tabs>
        <w:spacing w:line="240" w:lineRule="auto"/>
        <w:rPr>
          <w:rFonts w:ascii="Arial" w:hAnsi="Arial" w:cs="Arial"/>
          <w:sz w:val="24"/>
          <w:szCs w:val="24"/>
        </w:rPr>
      </w:pPr>
      <w:r>
        <w:rPr>
          <w:rFonts w:ascii="Arial" w:hAnsi="Arial" w:cs="Arial"/>
          <w:sz w:val="24"/>
          <w:szCs w:val="24"/>
        </w:rPr>
        <w:t xml:space="preserve">To increase the </w:t>
      </w:r>
      <w:r w:rsidRPr="009A6E39">
        <w:rPr>
          <w:rFonts w:ascii="Arial" w:hAnsi="Arial" w:cs="Arial"/>
          <w:sz w:val="24"/>
          <w:szCs w:val="24"/>
        </w:rPr>
        <w:t>special responsibility allowance for the Chairman of the Board/Executive Committee</w:t>
      </w:r>
      <w:r w:rsidRPr="00DF5824">
        <w:rPr>
          <w:rFonts w:ascii="Arial" w:hAnsi="Arial" w:cs="Arial"/>
          <w:sz w:val="24"/>
          <w:szCs w:val="24"/>
        </w:rPr>
        <w:t xml:space="preserve"> </w:t>
      </w:r>
      <w:r>
        <w:rPr>
          <w:rFonts w:ascii="Arial" w:hAnsi="Arial" w:cs="Arial"/>
          <w:sz w:val="24"/>
          <w:szCs w:val="24"/>
        </w:rPr>
        <w:t>to</w:t>
      </w:r>
      <w:r w:rsidRPr="009A6E39">
        <w:rPr>
          <w:rFonts w:ascii="Arial" w:hAnsi="Arial" w:cs="Arial"/>
          <w:sz w:val="24"/>
          <w:szCs w:val="24"/>
        </w:rPr>
        <w:t xml:space="preserve"> £2,700 per annum</w:t>
      </w:r>
    </w:p>
    <w:p w:rsidR="00DF5824" w:rsidRPr="009A6E39" w:rsidRDefault="00DF5824" w:rsidP="00FD5858">
      <w:pPr>
        <w:pStyle w:val="ListParagraph"/>
        <w:numPr>
          <w:ilvl w:val="0"/>
          <w:numId w:val="4"/>
        </w:numPr>
        <w:tabs>
          <w:tab w:val="left" w:pos="720"/>
          <w:tab w:val="num" w:pos="2880"/>
        </w:tabs>
        <w:spacing w:line="240" w:lineRule="auto"/>
        <w:rPr>
          <w:rFonts w:ascii="Arial" w:hAnsi="Arial" w:cs="Arial"/>
          <w:sz w:val="24"/>
          <w:szCs w:val="24"/>
        </w:rPr>
      </w:pPr>
      <w:r>
        <w:rPr>
          <w:rFonts w:ascii="Arial" w:hAnsi="Arial" w:cs="Arial"/>
          <w:sz w:val="24"/>
          <w:szCs w:val="24"/>
        </w:rPr>
        <w:t xml:space="preserve">To increase the </w:t>
      </w:r>
      <w:r w:rsidRPr="009A6E39">
        <w:rPr>
          <w:rFonts w:ascii="Arial" w:hAnsi="Arial" w:cs="Arial"/>
          <w:sz w:val="24"/>
          <w:szCs w:val="24"/>
        </w:rPr>
        <w:t xml:space="preserve">special </w:t>
      </w:r>
      <w:r>
        <w:rPr>
          <w:rFonts w:ascii="Arial" w:hAnsi="Arial" w:cs="Arial"/>
          <w:sz w:val="24"/>
          <w:szCs w:val="24"/>
        </w:rPr>
        <w:t xml:space="preserve">responsibility allowance </w:t>
      </w:r>
      <w:r w:rsidRPr="009A6E39">
        <w:rPr>
          <w:rFonts w:ascii="Arial" w:hAnsi="Arial" w:cs="Arial"/>
          <w:sz w:val="24"/>
          <w:szCs w:val="24"/>
        </w:rPr>
        <w:t xml:space="preserve">for the </w:t>
      </w:r>
      <w:r>
        <w:rPr>
          <w:rFonts w:ascii="Arial" w:hAnsi="Arial" w:cs="Arial"/>
          <w:sz w:val="24"/>
          <w:szCs w:val="24"/>
        </w:rPr>
        <w:t>Vice-</w:t>
      </w:r>
      <w:r w:rsidRPr="009A6E39">
        <w:rPr>
          <w:rFonts w:ascii="Arial" w:hAnsi="Arial" w:cs="Arial"/>
          <w:sz w:val="24"/>
          <w:szCs w:val="24"/>
        </w:rPr>
        <w:t>Chairman of the Board/Executive Committee</w:t>
      </w:r>
      <w:r w:rsidRPr="00DF5824">
        <w:rPr>
          <w:rFonts w:ascii="Arial" w:hAnsi="Arial" w:cs="Arial"/>
          <w:sz w:val="24"/>
          <w:szCs w:val="24"/>
        </w:rPr>
        <w:t xml:space="preserve"> </w:t>
      </w:r>
      <w:r>
        <w:rPr>
          <w:rFonts w:ascii="Arial" w:hAnsi="Arial" w:cs="Arial"/>
          <w:sz w:val="24"/>
          <w:szCs w:val="24"/>
        </w:rPr>
        <w:t>to £1,8</w:t>
      </w:r>
      <w:r w:rsidRPr="009A6E39">
        <w:rPr>
          <w:rFonts w:ascii="Arial" w:hAnsi="Arial" w:cs="Arial"/>
          <w:sz w:val="24"/>
          <w:szCs w:val="24"/>
        </w:rPr>
        <w:t>00 per annum</w:t>
      </w:r>
    </w:p>
    <w:p w:rsidR="00DF5824" w:rsidRPr="009A6E39" w:rsidRDefault="00DF5824" w:rsidP="00FD5858">
      <w:pPr>
        <w:pStyle w:val="ListParagraph"/>
        <w:numPr>
          <w:ilvl w:val="0"/>
          <w:numId w:val="4"/>
        </w:numPr>
        <w:tabs>
          <w:tab w:val="left" w:pos="720"/>
        </w:tabs>
        <w:spacing w:line="240" w:lineRule="auto"/>
        <w:rPr>
          <w:rFonts w:ascii="Arial" w:hAnsi="Arial" w:cs="Arial"/>
          <w:sz w:val="24"/>
          <w:szCs w:val="24"/>
        </w:rPr>
      </w:pPr>
      <w:r>
        <w:rPr>
          <w:rFonts w:ascii="Arial" w:hAnsi="Arial" w:cs="Arial"/>
          <w:sz w:val="24"/>
          <w:szCs w:val="24"/>
        </w:rPr>
        <w:t xml:space="preserve">To increase the </w:t>
      </w:r>
      <w:r w:rsidRPr="009A6E39">
        <w:rPr>
          <w:rFonts w:ascii="Arial" w:hAnsi="Arial" w:cs="Arial"/>
          <w:sz w:val="24"/>
          <w:szCs w:val="24"/>
        </w:rPr>
        <w:t xml:space="preserve">special </w:t>
      </w:r>
      <w:r>
        <w:rPr>
          <w:rFonts w:ascii="Arial" w:hAnsi="Arial" w:cs="Arial"/>
          <w:sz w:val="24"/>
          <w:szCs w:val="24"/>
        </w:rPr>
        <w:t xml:space="preserve">responsibility allowance for each member of the </w:t>
      </w:r>
      <w:r w:rsidRPr="009A6E39">
        <w:rPr>
          <w:rFonts w:ascii="Arial" w:hAnsi="Arial" w:cs="Arial"/>
          <w:sz w:val="24"/>
          <w:szCs w:val="24"/>
        </w:rPr>
        <w:t>Executive Committee</w:t>
      </w:r>
      <w:r>
        <w:rPr>
          <w:rFonts w:ascii="Arial" w:hAnsi="Arial" w:cs="Arial"/>
          <w:sz w:val="24"/>
          <w:szCs w:val="24"/>
        </w:rPr>
        <w:t xml:space="preserve"> </w:t>
      </w:r>
      <w:r w:rsidRPr="001A2C85">
        <w:rPr>
          <w:rFonts w:ascii="Arial" w:hAnsi="Arial" w:cs="Arial"/>
          <w:sz w:val="24"/>
          <w:szCs w:val="24"/>
        </w:rPr>
        <w:t>(excluding Chairman and Vice-Chairman</w:t>
      </w:r>
      <w:r>
        <w:rPr>
          <w:rFonts w:ascii="Arial" w:hAnsi="Arial" w:cs="Arial"/>
          <w:sz w:val="24"/>
          <w:szCs w:val="24"/>
        </w:rPr>
        <w:t>)</w:t>
      </w:r>
      <w:r w:rsidRPr="00DF5824">
        <w:rPr>
          <w:rFonts w:ascii="Arial" w:hAnsi="Arial" w:cs="Arial"/>
          <w:sz w:val="24"/>
          <w:szCs w:val="24"/>
        </w:rPr>
        <w:t xml:space="preserve"> </w:t>
      </w:r>
      <w:r>
        <w:rPr>
          <w:rFonts w:ascii="Arial" w:hAnsi="Arial" w:cs="Arial"/>
          <w:sz w:val="24"/>
          <w:szCs w:val="24"/>
        </w:rPr>
        <w:t>to £600 per annum</w:t>
      </w:r>
    </w:p>
    <w:p w:rsidR="00DF5824" w:rsidRPr="00FD5858" w:rsidRDefault="00DF5824" w:rsidP="00FD5858">
      <w:pPr>
        <w:pStyle w:val="ListParagraph"/>
        <w:numPr>
          <w:ilvl w:val="0"/>
          <w:numId w:val="4"/>
        </w:numPr>
        <w:tabs>
          <w:tab w:val="left" w:pos="720"/>
        </w:tabs>
        <w:spacing w:line="240" w:lineRule="auto"/>
        <w:rPr>
          <w:rFonts w:ascii="Arial" w:hAnsi="Arial" w:cs="Arial"/>
          <w:sz w:val="24"/>
          <w:szCs w:val="24"/>
        </w:rPr>
      </w:pPr>
      <w:r>
        <w:rPr>
          <w:rFonts w:ascii="Arial" w:hAnsi="Arial" w:cs="Arial"/>
          <w:sz w:val="24"/>
          <w:szCs w:val="24"/>
        </w:rPr>
        <w:t xml:space="preserve">To increase the motor car mileage rate to </w:t>
      </w:r>
      <w:r w:rsidR="00FD5858" w:rsidRPr="00FD5858">
        <w:rPr>
          <w:rFonts w:ascii="Arial" w:hAnsi="Arial" w:cs="Arial"/>
          <w:sz w:val="24"/>
          <w:szCs w:val="24"/>
        </w:rPr>
        <w:t>45p per mile</w:t>
      </w:r>
      <w:r w:rsidR="00FD5858">
        <w:rPr>
          <w:rFonts w:ascii="Arial" w:hAnsi="Arial" w:cs="Arial"/>
          <w:sz w:val="24"/>
          <w:szCs w:val="24"/>
        </w:rPr>
        <w:t xml:space="preserve"> </w:t>
      </w:r>
      <w:r w:rsidR="00FD5858" w:rsidRPr="00FD5858">
        <w:rPr>
          <w:rFonts w:ascii="Arial" w:hAnsi="Arial" w:cs="Arial"/>
          <w:sz w:val="24"/>
          <w:szCs w:val="24"/>
        </w:rPr>
        <w:t>for the first 10,000 business miles in the tax year; and</w:t>
      </w:r>
      <w:r w:rsidR="00FD5858">
        <w:rPr>
          <w:rFonts w:ascii="Arial" w:hAnsi="Arial" w:cs="Arial"/>
          <w:sz w:val="24"/>
          <w:szCs w:val="24"/>
        </w:rPr>
        <w:t xml:space="preserve"> </w:t>
      </w:r>
      <w:r w:rsidR="00FD5858" w:rsidRPr="00FD5858">
        <w:rPr>
          <w:rFonts w:ascii="Arial" w:hAnsi="Arial" w:cs="Arial"/>
          <w:sz w:val="24"/>
          <w:szCs w:val="24"/>
        </w:rPr>
        <w:t>25p per mile for each business mile over 10,000 in the tax year</w:t>
      </w:r>
      <w:r w:rsidR="00FD5858">
        <w:rPr>
          <w:rFonts w:ascii="Arial" w:hAnsi="Arial" w:cs="Arial"/>
          <w:sz w:val="24"/>
          <w:szCs w:val="24"/>
        </w:rPr>
        <w:t xml:space="preserve"> (in line with </w:t>
      </w:r>
      <w:r w:rsidR="00FD5858" w:rsidRPr="003A7801">
        <w:rPr>
          <w:rFonts w:ascii="Arial" w:hAnsi="Arial" w:cs="Arial"/>
        </w:rPr>
        <w:t>HMRC approved rates</w:t>
      </w:r>
      <w:r w:rsidR="00FD5858">
        <w:rPr>
          <w:rFonts w:ascii="Arial" w:hAnsi="Arial" w:cs="Arial"/>
        </w:rPr>
        <w:t>).</w:t>
      </w:r>
    </w:p>
    <w:p w:rsidR="00DF5824" w:rsidRDefault="00FD5858" w:rsidP="004F7418">
      <w:pPr>
        <w:pStyle w:val="BodyText"/>
        <w:tabs>
          <w:tab w:val="left" w:pos="720"/>
          <w:tab w:val="num" w:pos="1440"/>
        </w:tabs>
        <w:ind w:left="720" w:hanging="720"/>
        <w:rPr>
          <w:sz w:val="24"/>
          <w:u w:val="single"/>
        </w:rPr>
      </w:pPr>
      <w:r w:rsidRPr="00FD5858">
        <w:rPr>
          <w:sz w:val="24"/>
        </w:rPr>
        <w:t>4.</w:t>
      </w:r>
      <w:r w:rsidRPr="00FD5858">
        <w:rPr>
          <w:sz w:val="24"/>
        </w:rPr>
        <w:tab/>
      </w:r>
      <w:r>
        <w:rPr>
          <w:sz w:val="24"/>
        </w:rPr>
        <w:t xml:space="preserve">A summary of the current scheme is </w:t>
      </w:r>
      <w:r w:rsidRPr="00651A25">
        <w:rPr>
          <w:sz w:val="24"/>
        </w:rPr>
        <w:t xml:space="preserve">attached as </w:t>
      </w:r>
      <w:r w:rsidRPr="00651A25">
        <w:rPr>
          <w:b/>
          <w:bCs/>
          <w:sz w:val="24"/>
        </w:rPr>
        <w:t>A</w:t>
      </w:r>
      <w:r>
        <w:rPr>
          <w:b/>
          <w:bCs/>
          <w:sz w:val="24"/>
        </w:rPr>
        <w:t>ppendix ‘A’</w:t>
      </w:r>
      <w:r w:rsidRPr="00651A25">
        <w:rPr>
          <w:sz w:val="24"/>
        </w:rPr>
        <w:t>.</w:t>
      </w:r>
    </w:p>
    <w:p w:rsidR="003833E4" w:rsidRDefault="003833E4" w:rsidP="002337CD">
      <w:pPr>
        <w:pStyle w:val="BodyText"/>
        <w:tabs>
          <w:tab w:val="left" w:pos="720"/>
          <w:tab w:val="num" w:pos="1440"/>
        </w:tabs>
        <w:rPr>
          <w:sz w:val="24"/>
        </w:rPr>
      </w:pPr>
    </w:p>
    <w:p w:rsidR="00566C77" w:rsidRPr="00566C77" w:rsidRDefault="00566C77" w:rsidP="002337CD">
      <w:pPr>
        <w:pStyle w:val="BodyText"/>
        <w:tabs>
          <w:tab w:val="left" w:pos="720"/>
          <w:tab w:val="num" w:pos="1440"/>
        </w:tabs>
        <w:rPr>
          <w:b/>
          <w:sz w:val="24"/>
        </w:rPr>
      </w:pPr>
      <w:r w:rsidRPr="00566C77">
        <w:rPr>
          <w:b/>
          <w:sz w:val="24"/>
        </w:rPr>
        <w:t>Cotswold District Council Independent Remuneration Panel</w:t>
      </w:r>
    </w:p>
    <w:p w:rsidR="00566C77" w:rsidRPr="0043576B" w:rsidRDefault="00566C77" w:rsidP="002337CD">
      <w:pPr>
        <w:pStyle w:val="BodyText"/>
        <w:tabs>
          <w:tab w:val="left" w:pos="720"/>
          <w:tab w:val="num" w:pos="1440"/>
        </w:tabs>
        <w:rPr>
          <w:sz w:val="24"/>
        </w:rPr>
      </w:pPr>
    </w:p>
    <w:p w:rsidR="00D31303" w:rsidRDefault="00FD5858" w:rsidP="00D84804">
      <w:pPr>
        <w:pStyle w:val="BodyText"/>
        <w:tabs>
          <w:tab w:val="left" w:pos="720"/>
          <w:tab w:val="num" w:pos="1440"/>
        </w:tabs>
        <w:ind w:left="720" w:hanging="720"/>
        <w:rPr>
          <w:sz w:val="24"/>
        </w:rPr>
      </w:pPr>
      <w:r>
        <w:rPr>
          <w:sz w:val="24"/>
        </w:rPr>
        <w:lastRenderedPageBreak/>
        <w:t>5</w:t>
      </w:r>
      <w:r w:rsidR="003833E4" w:rsidRPr="003833E4">
        <w:rPr>
          <w:sz w:val="24"/>
        </w:rPr>
        <w:t>.</w:t>
      </w:r>
      <w:r w:rsidR="003833E4" w:rsidRPr="003833E4">
        <w:rPr>
          <w:sz w:val="24"/>
        </w:rPr>
        <w:tab/>
      </w:r>
      <w:r w:rsidR="00D31303" w:rsidRPr="003833E4">
        <w:rPr>
          <w:sz w:val="24"/>
        </w:rPr>
        <w:t>In formulating a view on this matter</w:t>
      </w:r>
      <w:r w:rsidR="00D31303">
        <w:rPr>
          <w:sz w:val="24"/>
        </w:rPr>
        <w:t xml:space="preserve"> over the years</w:t>
      </w:r>
      <w:r w:rsidR="00CD0EAA">
        <w:rPr>
          <w:sz w:val="24"/>
        </w:rPr>
        <w:t>, the Board has</w:t>
      </w:r>
      <w:r w:rsidR="00D31303" w:rsidRPr="003833E4">
        <w:rPr>
          <w:sz w:val="24"/>
        </w:rPr>
        <w:t xml:space="preserve"> had regard to any recommendations from </w:t>
      </w:r>
      <w:r w:rsidR="0043576B">
        <w:rPr>
          <w:sz w:val="24"/>
        </w:rPr>
        <w:t>CDC</w:t>
      </w:r>
      <w:r w:rsidR="00503238">
        <w:rPr>
          <w:sz w:val="24"/>
        </w:rPr>
        <w:t>’</w:t>
      </w:r>
      <w:r w:rsidR="00D31303" w:rsidRPr="003833E4">
        <w:rPr>
          <w:sz w:val="24"/>
        </w:rPr>
        <w:t>s Independent Remuneration Panel.  In its work, the</w:t>
      </w:r>
      <w:r w:rsidR="00CD0EAA">
        <w:rPr>
          <w:sz w:val="24"/>
        </w:rPr>
        <w:t xml:space="preserve"> Panel has</w:t>
      </w:r>
      <w:r w:rsidR="00D31303" w:rsidRPr="003833E4">
        <w:rPr>
          <w:sz w:val="24"/>
        </w:rPr>
        <w:t xml:space="preserve"> regard to comparative allowances data from other authorities; the various in</w:t>
      </w:r>
      <w:r w:rsidR="00D31303">
        <w:rPr>
          <w:sz w:val="24"/>
        </w:rPr>
        <w:t>flationary figures over previous</w:t>
      </w:r>
      <w:r w:rsidR="00D31303" w:rsidRPr="003833E4">
        <w:rPr>
          <w:sz w:val="24"/>
        </w:rPr>
        <w:t xml:space="preserve"> year</w:t>
      </w:r>
      <w:r w:rsidR="00D31303">
        <w:rPr>
          <w:sz w:val="24"/>
        </w:rPr>
        <w:t>s</w:t>
      </w:r>
      <w:r w:rsidR="00900FBA">
        <w:rPr>
          <w:sz w:val="24"/>
        </w:rPr>
        <w:t>;</w:t>
      </w:r>
      <w:r w:rsidR="00D31303">
        <w:rPr>
          <w:sz w:val="24"/>
        </w:rPr>
        <w:t xml:space="preserve"> and</w:t>
      </w:r>
      <w:r w:rsidR="00E24B7B">
        <w:rPr>
          <w:sz w:val="24"/>
        </w:rPr>
        <w:t xml:space="preserve"> </w:t>
      </w:r>
      <w:r w:rsidR="00D31303">
        <w:rPr>
          <w:sz w:val="24"/>
        </w:rPr>
        <w:t xml:space="preserve">the </w:t>
      </w:r>
      <w:r w:rsidR="00E24B7B">
        <w:rPr>
          <w:sz w:val="24"/>
        </w:rPr>
        <w:t xml:space="preserve">position </w:t>
      </w:r>
      <w:r w:rsidR="00D31303" w:rsidRPr="003833E4">
        <w:rPr>
          <w:sz w:val="24"/>
        </w:rPr>
        <w:t>in respect of local government employees</w:t>
      </w:r>
      <w:r w:rsidR="00D4606F">
        <w:rPr>
          <w:sz w:val="24"/>
        </w:rPr>
        <w:t>.</w:t>
      </w:r>
      <w:r w:rsidR="009277D1">
        <w:rPr>
          <w:sz w:val="24"/>
        </w:rPr>
        <w:t xml:space="preserve">   </w:t>
      </w:r>
    </w:p>
    <w:p w:rsidR="005A3559" w:rsidRPr="00820A79" w:rsidRDefault="005A3559" w:rsidP="00E72768">
      <w:pPr>
        <w:pStyle w:val="BodyText"/>
        <w:tabs>
          <w:tab w:val="left" w:pos="720"/>
          <w:tab w:val="num" w:pos="1440"/>
        </w:tabs>
        <w:rPr>
          <w:color w:val="FF0000"/>
          <w:sz w:val="24"/>
        </w:rPr>
      </w:pPr>
    </w:p>
    <w:p w:rsidR="00820A79" w:rsidRDefault="005A3559" w:rsidP="00820A79">
      <w:pPr>
        <w:pStyle w:val="BodyText"/>
        <w:tabs>
          <w:tab w:val="left" w:pos="720"/>
          <w:tab w:val="num" w:pos="1440"/>
        </w:tabs>
        <w:ind w:left="720" w:hanging="720"/>
        <w:rPr>
          <w:sz w:val="24"/>
        </w:rPr>
      </w:pPr>
      <w:r>
        <w:rPr>
          <w:sz w:val="24"/>
        </w:rPr>
        <w:t>6</w:t>
      </w:r>
      <w:r w:rsidR="00D31303" w:rsidRPr="00820A79">
        <w:rPr>
          <w:sz w:val="24"/>
        </w:rPr>
        <w:t>.</w:t>
      </w:r>
      <w:r w:rsidR="00D31303" w:rsidRPr="00820A79">
        <w:rPr>
          <w:sz w:val="24"/>
        </w:rPr>
        <w:tab/>
      </w:r>
      <w:r w:rsidR="009277D1" w:rsidRPr="00820A79">
        <w:rPr>
          <w:sz w:val="24"/>
        </w:rPr>
        <w:t>T</w:t>
      </w:r>
      <w:r w:rsidR="00D31303" w:rsidRPr="00820A79">
        <w:rPr>
          <w:sz w:val="24"/>
        </w:rPr>
        <w:t xml:space="preserve">he </w:t>
      </w:r>
      <w:r w:rsidR="0043576B" w:rsidRPr="00820A79">
        <w:rPr>
          <w:sz w:val="24"/>
        </w:rPr>
        <w:t>CDC</w:t>
      </w:r>
      <w:r w:rsidR="002337CD" w:rsidRPr="00820A79">
        <w:rPr>
          <w:sz w:val="24"/>
        </w:rPr>
        <w:t xml:space="preserve"> Panel has </w:t>
      </w:r>
      <w:r w:rsidR="00D31303" w:rsidRPr="00820A79">
        <w:rPr>
          <w:sz w:val="24"/>
        </w:rPr>
        <w:t>met for the coming year</w:t>
      </w:r>
      <w:r w:rsidR="002337CD" w:rsidRPr="00820A79">
        <w:rPr>
          <w:sz w:val="24"/>
        </w:rPr>
        <w:t xml:space="preserve">.  </w:t>
      </w:r>
      <w:r w:rsidR="00820A79" w:rsidRPr="00820A79">
        <w:rPr>
          <w:sz w:val="24"/>
        </w:rPr>
        <w:t xml:space="preserve">The Panel was generally content with the structure of, and methodology used for, the scheme.  </w:t>
      </w:r>
      <w:r w:rsidR="00820A79">
        <w:rPr>
          <w:sz w:val="24"/>
        </w:rPr>
        <w:t xml:space="preserve">However, a </w:t>
      </w:r>
      <w:r w:rsidR="00820A79" w:rsidRPr="00820A79">
        <w:rPr>
          <w:sz w:val="24"/>
        </w:rPr>
        <w:t xml:space="preserve">major concern was the fact that </w:t>
      </w:r>
      <w:r w:rsidR="00820A79">
        <w:rPr>
          <w:sz w:val="24"/>
        </w:rPr>
        <w:t xml:space="preserve">the level of Basic Allowance </w:t>
      </w:r>
      <w:r>
        <w:rPr>
          <w:sz w:val="24"/>
        </w:rPr>
        <w:t xml:space="preserve">(£4,000 per annum per councillor) </w:t>
      </w:r>
      <w:r w:rsidR="00820A79">
        <w:rPr>
          <w:sz w:val="24"/>
        </w:rPr>
        <w:t>had</w:t>
      </w:r>
      <w:r w:rsidR="00820A79" w:rsidRPr="00820A79">
        <w:rPr>
          <w:sz w:val="24"/>
        </w:rPr>
        <w:t xml:space="preserve"> fallen well behind the </w:t>
      </w:r>
      <w:r w:rsidR="00820A79">
        <w:rPr>
          <w:sz w:val="24"/>
        </w:rPr>
        <w:t xml:space="preserve">local government </w:t>
      </w:r>
      <w:r w:rsidR="00820A79" w:rsidRPr="00820A79">
        <w:rPr>
          <w:sz w:val="24"/>
        </w:rPr>
        <w:t xml:space="preserve">average, having remained unchanged </w:t>
      </w:r>
      <w:r w:rsidR="00820A79">
        <w:rPr>
          <w:sz w:val="24"/>
        </w:rPr>
        <w:t>since 2008/09</w:t>
      </w:r>
      <w:r w:rsidR="00820A79" w:rsidRPr="00820A79">
        <w:rPr>
          <w:sz w:val="24"/>
        </w:rPr>
        <w:t>.  Against thi</w:t>
      </w:r>
      <w:r w:rsidR="00820A79">
        <w:rPr>
          <w:sz w:val="24"/>
        </w:rPr>
        <w:t>s background, the Panel believed that an increase was now critical; and</w:t>
      </w:r>
      <w:r w:rsidR="00820A79" w:rsidRPr="00820A79">
        <w:rPr>
          <w:sz w:val="24"/>
        </w:rPr>
        <w:t xml:space="preserve"> considere</w:t>
      </w:r>
      <w:r w:rsidR="00820A79">
        <w:rPr>
          <w:sz w:val="24"/>
        </w:rPr>
        <w:t>d that any continued freeze would</w:t>
      </w:r>
      <w:r w:rsidR="00820A79" w:rsidRPr="00820A79">
        <w:rPr>
          <w:sz w:val="24"/>
        </w:rPr>
        <w:t xml:space="preserve"> only exacerbate the position and make future increases more difficult.  </w:t>
      </w:r>
    </w:p>
    <w:p w:rsidR="00820A79" w:rsidRPr="00820A79" w:rsidRDefault="00820A79" w:rsidP="00820A79">
      <w:pPr>
        <w:pStyle w:val="BodyText"/>
        <w:tabs>
          <w:tab w:val="left" w:pos="720"/>
          <w:tab w:val="num" w:pos="1440"/>
        </w:tabs>
        <w:ind w:left="720" w:hanging="720"/>
        <w:rPr>
          <w:sz w:val="24"/>
        </w:rPr>
      </w:pPr>
    </w:p>
    <w:p w:rsidR="005A3559" w:rsidRDefault="00566C77" w:rsidP="00820A79">
      <w:pPr>
        <w:pStyle w:val="BodyText"/>
        <w:tabs>
          <w:tab w:val="left" w:pos="720"/>
          <w:tab w:val="num" w:pos="1440"/>
        </w:tabs>
        <w:ind w:left="720" w:hanging="720"/>
        <w:rPr>
          <w:sz w:val="24"/>
        </w:rPr>
      </w:pPr>
      <w:r>
        <w:rPr>
          <w:sz w:val="24"/>
        </w:rPr>
        <w:t>7</w:t>
      </w:r>
      <w:r w:rsidR="00820A79">
        <w:rPr>
          <w:sz w:val="24"/>
        </w:rPr>
        <w:t>.</w:t>
      </w:r>
      <w:r w:rsidR="00820A79">
        <w:rPr>
          <w:sz w:val="24"/>
        </w:rPr>
        <w:tab/>
      </w:r>
      <w:r w:rsidR="005A3559">
        <w:rPr>
          <w:sz w:val="24"/>
        </w:rPr>
        <w:t>The Panel’s recomm</w:t>
      </w:r>
      <w:r w:rsidR="000B37BC">
        <w:rPr>
          <w:sz w:val="24"/>
        </w:rPr>
        <w:t>endations insofar as the Basic A</w:t>
      </w:r>
      <w:r w:rsidR="005A3559">
        <w:rPr>
          <w:sz w:val="24"/>
        </w:rPr>
        <w:t>llowance was concerned were as follows:-</w:t>
      </w:r>
    </w:p>
    <w:p w:rsidR="005A3559" w:rsidRDefault="005A3559" w:rsidP="005A3559">
      <w:pPr>
        <w:pStyle w:val="BodyText"/>
        <w:tabs>
          <w:tab w:val="left" w:pos="720"/>
          <w:tab w:val="num" w:pos="1440"/>
        </w:tabs>
        <w:rPr>
          <w:sz w:val="24"/>
        </w:rPr>
      </w:pPr>
    </w:p>
    <w:p w:rsidR="005A3559" w:rsidRPr="005A3559" w:rsidRDefault="005A3559" w:rsidP="005A3559">
      <w:pPr>
        <w:pStyle w:val="BodyText"/>
        <w:tabs>
          <w:tab w:val="left" w:pos="720"/>
          <w:tab w:val="num" w:pos="1440"/>
        </w:tabs>
        <w:ind w:left="720" w:hanging="11"/>
        <w:rPr>
          <w:sz w:val="24"/>
          <w:u w:val="single"/>
        </w:rPr>
      </w:pPr>
      <w:r w:rsidRPr="005A3559">
        <w:rPr>
          <w:sz w:val="24"/>
          <w:u w:val="single"/>
        </w:rPr>
        <w:t>2018/19</w:t>
      </w:r>
    </w:p>
    <w:p w:rsidR="005A3559" w:rsidRPr="005A3559" w:rsidRDefault="005A3559" w:rsidP="005A3559">
      <w:pPr>
        <w:pStyle w:val="BodyText"/>
        <w:tabs>
          <w:tab w:val="left" w:pos="720"/>
          <w:tab w:val="num" w:pos="1440"/>
        </w:tabs>
        <w:ind w:left="720" w:hanging="11"/>
        <w:rPr>
          <w:sz w:val="24"/>
        </w:rPr>
      </w:pPr>
    </w:p>
    <w:p w:rsidR="005A3559" w:rsidRPr="005A3559" w:rsidRDefault="005A3559" w:rsidP="005A3559">
      <w:pPr>
        <w:pStyle w:val="BodyText"/>
        <w:tabs>
          <w:tab w:val="left" w:pos="720"/>
          <w:tab w:val="num" w:pos="1440"/>
        </w:tabs>
        <w:ind w:left="720" w:hanging="11"/>
        <w:rPr>
          <w:sz w:val="24"/>
        </w:rPr>
      </w:pPr>
      <w:r w:rsidRPr="005A3559">
        <w:rPr>
          <w:sz w:val="24"/>
        </w:rPr>
        <w:t>£4,500 per annum per councillor</w:t>
      </w:r>
      <w:r>
        <w:rPr>
          <w:sz w:val="24"/>
        </w:rPr>
        <w:t xml:space="preserve"> </w:t>
      </w:r>
      <w:r w:rsidRPr="005A3559">
        <w:rPr>
          <w:sz w:val="24"/>
        </w:rPr>
        <w:t>(backdated to 1/4/18)</w:t>
      </w:r>
    </w:p>
    <w:p w:rsidR="005A3559" w:rsidRPr="005A3559" w:rsidRDefault="005A3559" w:rsidP="005A3559">
      <w:pPr>
        <w:pStyle w:val="BodyText"/>
        <w:tabs>
          <w:tab w:val="left" w:pos="720"/>
          <w:tab w:val="num" w:pos="1440"/>
        </w:tabs>
        <w:ind w:left="720" w:hanging="11"/>
        <w:rPr>
          <w:sz w:val="24"/>
        </w:rPr>
      </w:pPr>
    </w:p>
    <w:p w:rsidR="005A3559" w:rsidRPr="005A3559" w:rsidRDefault="005A3559" w:rsidP="005A3559">
      <w:pPr>
        <w:pStyle w:val="BodyText"/>
        <w:tabs>
          <w:tab w:val="left" w:pos="720"/>
          <w:tab w:val="num" w:pos="1440"/>
        </w:tabs>
        <w:ind w:left="720" w:hanging="11"/>
        <w:rPr>
          <w:sz w:val="24"/>
          <w:u w:val="single"/>
        </w:rPr>
      </w:pPr>
      <w:r w:rsidRPr="005A3559">
        <w:rPr>
          <w:sz w:val="24"/>
          <w:u w:val="single"/>
        </w:rPr>
        <w:t>2019/20</w:t>
      </w:r>
    </w:p>
    <w:p w:rsidR="005A3559" w:rsidRPr="005A3559" w:rsidRDefault="005A3559" w:rsidP="005A3559">
      <w:pPr>
        <w:pStyle w:val="BodyText"/>
        <w:tabs>
          <w:tab w:val="left" w:pos="720"/>
          <w:tab w:val="num" w:pos="1440"/>
        </w:tabs>
        <w:ind w:left="720" w:hanging="11"/>
        <w:rPr>
          <w:sz w:val="24"/>
        </w:rPr>
      </w:pPr>
    </w:p>
    <w:p w:rsidR="005A3559" w:rsidRPr="005A3559" w:rsidRDefault="005A3559" w:rsidP="005A3559">
      <w:pPr>
        <w:pStyle w:val="BodyText"/>
        <w:tabs>
          <w:tab w:val="left" w:pos="720"/>
          <w:tab w:val="num" w:pos="1440"/>
        </w:tabs>
        <w:ind w:left="720" w:hanging="11"/>
        <w:rPr>
          <w:sz w:val="24"/>
        </w:rPr>
      </w:pPr>
      <w:r w:rsidRPr="005A3559">
        <w:rPr>
          <w:sz w:val="24"/>
        </w:rPr>
        <w:lastRenderedPageBreak/>
        <w:t>Minimum of £5,000 per annum per councillor</w:t>
      </w:r>
      <w:r>
        <w:rPr>
          <w:sz w:val="24"/>
        </w:rPr>
        <w:t xml:space="preserve"> </w:t>
      </w:r>
      <w:r w:rsidRPr="005A3559">
        <w:rPr>
          <w:sz w:val="24"/>
        </w:rPr>
        <w:t>(the Panel believe</w:t>
      </w:r>
      <w:r>
        <w:rPr>
          <w:sz w:val="24"/>
        </w:rPr>
        <w:t>d</w:t>
      </w:r>
      <w:r w:rsidRPr="005A3559">
        <w:rPr>
          <w:sz w:val="24"/>
        </w:rPr>
        <w:t xml:space="preserve"> that an increase to £5,500 could be justified)</w:t>
      </w:r>
    </w:p>
    <w:p w:rsidR="005A3559" w:rsidRPr="005A3559" w:rsidRDefault="005A3559" w:rsidP="005A3559">
      <w:pPr>
        <w:pStyle w:val="BodyText"/>
        <w:tabs>
          <w:tab w:val="left" w:pos="720"/>
          <w:tab w:val="num" w:pos="1440"/>
        </w:tabs>
        <w:ind w:left="720" w:hanging="11"/>
        <w:rPr>
          <w:sz w:val="24"/>
        </w:rPr>
      </w:pPr>
    </w:p>
    <w:p w:rsidR="005A3559" w:rsidRPr="005A3559" w:rsidRDefault="005A3559" w:rsidP="005A3559">
      <w:pPr>
        <w:pStyle w:val="BodyText"/>
        <w:tabs>
          <w:tab w:val="left" w:pos="720"/>
          <w:tab w:val="num" w:pos="1440"/>
        </w:tabs>
        <w:ind w:left="720" w:hanging="11"/>
        <w:rPr>
          <w:sz w:val="24"/>
          <w:u w:val="single"/>
        </w:rPr>
      </w:pPr>
      <w:r w:rsidRPr="005A3559">
        <w:rPr>
          <w:sz w:val="24"/>
          <w:u w:val="single"/>
        </w:rPr>
        <w:t>2020/21, 2021/22, 2022/23</w:t>
      </w:r>
    </w:p>
    <w:p w:rsidR="005A3559" w:rsidRPr="005A3559" w:rsidRDefault="005A3559" w:rsidP="005A3559">
      <w:pPr>
        <w:pStyle w:val="BodyText"/>
        <w:tabs>
          <w:tab w:val="left" w:pos="720"/>
          <w:tab w:val="num" w:pos="1440"/>
        </w:tabs>
        <w:ind w:left="720" w:hanging="11"/>
        <w:rPr>
          <w:sz w:val="24"/>
        </w:rPr>
      </w:pPr>
    </w:p>
    <w:p w:rsidR="005A3559" w:rsidRDefault="005A3559" w:rsidP="005A3559">
      <w:pPr>
        <w:pStyle w:val="BodyText"/>
        <w:tabs>
          <w:tab w:val="left" w:pos="720"/>
          <w:tab w:val="num" w:pos="1440"/>
        </w:tabs>
        <w:ind w:left="720" w:hanging="11"/>
        <w:rPr>
          <w:sz w:val="24"/>
        </w:rPr>
      </w:pPr>
      <w:r w:rsidRPr="005A3559">
        <w:rPr>
          <w:sz w:val="24"/>
        </w:rPr>
        <w:t>To be increased annually in line with an agreed measure - CPI or staff pay awards</w:t>
      </w:r>
      <w:r w:rsidR="00F64388">
        <w:rPr>
          <w:sz w:val="24"/>
        </w:rPr>
        <w:t xml:space="preserve"> - subject to a </w:t>
      </w:r>
      <w:r w:rsidR="00F64388" w:rsidRPr="00F64388">
        <w:rPr>
          <w:sz w:val="24"/>
        </w:rPr>
        <w:t>light-touch annual ‘sense-check’ of the allowances;</w:t>
      </w:r>
      <w:r w:rsidR="00F64388">
        <w:rPr>
          <w:sz w:val="24"/>
        </w:rPr>
        <w:t xml:space="preserve"> and a </w:t>
      </w:r>
      <w:r w:rsidR="00F64388" w:rsidRPr="00F64388">
        <w:rPr>
          <w:sz w:val="24"/>
        </w:rPr>
        <w:t>comprehensive review in the final year of the</w:t>
      </w:r>
      <w:r w:rsidR="00F64388">
        <w:rPr>
          <w:sz w:val="24"/>
        </w:rPr>
        <w:t xml:space="preserve"> Council</w:t>
      </w:r>
      <w:r w:rsidR="00F64388" w:rsidRPr="00F64388">
        <w:rPr>
          <w:sz w:val="24"/>
        </w:rPr>
        <w:t xml:space="preserve"> term</w:t>
      </w:r>
      <w:r w:rsidR="00F64388">
        <w:rPr>
          <w:sz w:val="24"/>
        </w:rPr>
        <w:t>.</w:t>
      </w:r>
    </w:p>
    <w:p w:rsidR="005A3559" w:rsidRDefault="005A3559" w:rsidP="00F64388">
      <w:pPr>
        <w:pStyle w:val="BodyText"/>
        <w:tabs>
          <w:tab w:val="left" w:pos="720"/>
          <w:tab w:val="num" w:pos="1440"/>
        </w:tabs>
        <w:rPr>
          <w:sz w:val="24"/>
        </w:rPr>
      </w:pPr>
    </w:p>
    <w:p w:rsidR="00820A79" w:rsidRPr="00820A79" w:rsidRDefault="00566C77" w:rsidP="00820A79">
      <w:pPr>
        <w:pStyle w:val="BodyText"/>
        <w:tabs>
          <w:tab w:val="left" w:pos="720"/>
          <w:tab w:val="num" w:pos="1440"/>
        </w:tabs>
        <w:ind w:left="720" w:hanging="720"/>
        <w:rPr>
          <w:sz w:val="24"/>
        </w:rPr>
      </w:pPr>
      <w:r>
        <w:rPr>
          <w:sz w:val="24"/>
        </w:rPr>
        <w:t>8</w:t>
      </w:r>
      <w:r w:rsidR="00F64388">
        <w:rPr>
          <w:sz w:val="24"/>
        </w:rPr>
        <w:t>.</w:t>
      </w:r>
      <w:r w:rsidR="00F64388">
        <w:rPr>
          <w:sz w:val="24"/>
        </w:rPr>
        <w:tab/>
      </w:r>
      <w:r w:rsidR="00820A79">
        <w:rPr>
          <w:sz w:val="24"/>
        </w:rPr>
        <w:t>The Panel</w:t>
      </w:r>
      <w:r w:rsidR="00820A79" w:rsidRPr="00820A79">
        <w:rPr>
          <w:sz w:val="24"/>
        </w:rPr>
        <w:t xml:space="preserve"> acknowledged that, on some occasions</w:t>
      </w:r>
      <w:r w:rsidR="00F64388">
        <w:rPr>
          <w:sz w:val="24"/>
        </w:rPr>
        <w:t xml:space="preserve"> in the past, c</w:t>
      </w:r>
      <w:r w:rsidR="00820A79" w:rsidRPr="00820A79">
        <w:rPr>
          <w:sz w:val="24"/>
        </w:rPr>
        <w:t xml:space="preserve">ouncillors </w:t>
      </w:r>
      <w:r w:rsidR="00820A79">
        <w:rPr>
          <w:sz w:val="24"/>
        </w:rPr>
        <w:t xml:space="preserve">had </w:t>
      </w:r>
      <w:r w:rsidR="00820A79" w:rsidRPr="00820A79">
        <w:rPr>
          <w:sz w:val="24"/>
        </w:rPr>
        <w:t xml:space="preserve">felt unable to award themselves any increases when staff were the subject of a </w:t>
      </w:r>
      <w:r w:rsidR="00F64388">
        <w:rPr>
          <w:sz w:val="24"/>
        </w:rPr>
        <w:t>pay freeze.  However, staff had</w:t>
      </w:r>
      <w:r w:rsidR="00820A79" w:rsidRPr="00820A79">
        <w:rPr>
          <w:sz w:val="24"/>
        </w:rPr>
        <w:t xml:space="preserve"> benefitted from pay increases from 2016, and a further award has been agreed for 2019/20.  Furthermore, since April </w:t>
      </w:r>
      <w:r w:rsidR="000B37BC">
        <w:rPr>
          <w:sz w:val="24"/>
        </w:rPr>
        <w:t>2008, the average RPI figure had</w:t>
      </w:r>
      <w:r w:rsidR="00820A79" w:rsidRPr="00820A79">
        <w:rPr>
          <w:sz w:val="24"/>
        </w:rPr>
        <w:t xml:space="preserve"> increased in the regio</w:t>
      </w:r>
      <w:r w:rsidR="000B37BC">
        <w:rPr>
          <w:sz w:val="24"/>
        </w:rPr>
        <w:t>n of 3.2% per annum; and CPI had</w:t>
      </w:r>
      <w:r w:rsidR="00820A79" w:rsidRPr="00820A79">
        <w:rPr>
          <w:sz w:val="24"/>
        </w:rPr>
        <w:t xml:space="preserve"> increased by around 2.3% per annum.</w:t>
      </w:r>
    </w:p>
    <w:p w:rsidR="009A6E39" w:rsidRPr="00AA41F3" w:rsidRDefault="009A6E39" w:rsidP="00F64388">
      <w:pPr>
        <w:pStyle w:val="BodyText"/>
        <w:tabs>
          <w:tab w:val="left" w:pos="720"/>
          <w:tab w:val="num" w:pos="1440"/>
        </w:tabs>
        <w:rPr>
          <w:sz w:val="24"/>
        </w:rPr>
      </w:pPr>
    </w:p>
    <w:p w:rsidR="00F64388" w:rsidRDefault="00566C77" w:rsidP="00F64388">
      <w:pPr>
        <w:pStyle w:val="BodyText"/>
        <w:tabs>
          <w:tab w:val="left" w:pos="720"/>
          <w:tab w:val="num" w:pos="1440"/>
        </w:tabs>
        <w:ind w:left="720" w:hanging="720"/>
        <w:rPr>
          <w:sz w:val="24"/>
        </w:rPr>
      </w:pPr>
      <w:r>
        <w:rPr>
          <w:sz w:val="24"/>
        </w:rPr>
        <w:t>9</w:t>
      </w:r>
      <w:r w:rsidR="00F64388">
        <w:rPr>
          <w:sz w:val="24"/>
        </w:rPr>
        <w:t>.</w:t>
      </w:r>
      <w:r w:rsidR="00F64388">
        <w:rPr>
          <w:sz w:val="24"/>
        </w:rPr>
        <w:tab/>
        <w:t>In the event, there was no unanimity of view amongst the councillors, and a decision was deferred until after the May 2019 elections.</w:t>
      </w:r>
    </w:p>
    <w:p w:rsidR="00F64388" w:rsidRPr="00E07603" w:rsidRDefault="00F64388" w:rsidP="00E07603">
      <w:pPr>
        <w:pStyle w:val="BodyText"/>
        <w:tabs>
          <w:tab w:val="left" w:pos="720"/>
          <w:tab w:val="num" w:pos="1440"/>
        </w:tabs>
        <w:ind w:left="709" w:hanging="709"/>
      </w:pPr>
    </w:p>
    <w:p w:rsidR="00EE0A9B" w:rsidRDefault="00EE0A9B" w:rsidP="00D4606F">
      <w:pPr>
        <w:pStyle w:val="BodyText"/>
        <w:tabs>
          <w:tab w:val="left" w:pos="720"/>
          <w:tab w:val="num" w:pos="1440"/>
        </w:tabs>
        <w:ind w:left="720" w:hanging="720"/>
        <w:rPr>
          <w:b/>
          <w:sz w:val="24"/>
        </w:rPr>
      </w:pPr>
      <w:r>
        <w:rPr>
          <w:b/>
          <w:sz w:val="24"/>
        </w:rPr>
        <w:t>Other Allowances</w:t>
      </w:r>
    </w:p>
    <w:p w:rsidR="00EE0A9B" w:rsidRPr="00EE0A9B" w:rsidRDefault="00EE0A9B" w:rsidP="00D4606F">
      <w:pPr>
        <w:pStyle w:val="BodyText"/>
        <w:tabs>
          <w:tab w:val="left" w:pos="720"/>
          <w:tab w:val="num" w:pos="1440"/>
        </w:tabs>
        <w:ind w:left="720" w:hanging="720"/>
        <w:rPr>
          <w:sz w:val="24"/>
        </w:rPr>
      </w:pPr>
    </w:p>
    <w:p w:rsidR="00EE0A9B" w:rsidRDefault="00EE0A9B" w:rsidP="00D4606F">
      <w:pPr>
        <w:pStyle w:val="BodyText"/>
        <w:tabs>
          <w:tab w:val="left" w:pos="720"/>
          <w:tab w:val="num" w:pos="1440"/>
        </w:tabs>
        <w:ind w:left="720" w:hanging="720"/>
        <w:rPr>
          <w:sz w:val="24"/>
        </w:rPr>
      </w:pPr>
      <w:r w:rsidRPr="00EE0A9B">
        <w:rPr>
          <w:sz w:val="24"/>
        </w:rPr>
        <w:lastRenderedPageBreak/>
        <w:t>10.</w:t>
      </w:r>
      <w:r w:rsidRPr="00EE0A9B">
        <w:rPr>
          <w:sz w:val="24"/>
        </w:rPr>
        <w:tab/>
      </w:r>
      <w:r>
        <w:rPr>
          <w:sz w:val="24"/>
        </w:rPr>
        <w:t>The CDC Scheme also includes provision for a Child Care Allowance and a Dependent Care Allowance. The latter element is something that Defra has recently expressed support for; but both may be factors when someone is considering whether to seek appointment to the Board.</w:t>
      </w:r>
    </w:p>
    <w:p w:rsidR="00EE0A9B" w:rsidRDefault="00EE0A9B" w:rsidP="00D4606F">
      <w:pPr>
        <w:pStyle w:val="BodyText"/>
        <w:tabs>
          <w:tab w:val="left" w:pos="720"/>
          <w:tab w:val="num" w:pos="1440"/>
        </w:tabs>
        <w:ind w:left="720" w:hanging="720"/>
        <w:rPr>
          <w:sz w:val="24"/>
        </w:rPr>
      </w:pPr>
    </w:p>
    <w:p w:rsidR="00EE0A9B" w:rsidRPr="00EE0A9B" w:rsidRDefault="00EE0A9B" w:rsidP="00D4606F">
      <w:pPr>
        <w:pStyle w:val="BodyText"/>
        <w:tabs>
          <w:tab w:val="left" w:pos="720"/>
          <w:tab w:val="num" w:pos="1440"/>
        </w:tabs>
        <w:ind w:left="720" w:hanging="720"/>
        <w:rPr>
          <w:sz w:val="24"/>
        </w:rPr>
      </w:pPr>
      <w:r>
        <w:rPr>
          <w:sz w:val="24"/>
        </w:rPr>
        <w:t>11.</w:t>
      </w:r>
      <w:r>
        <w:rPr>
          <w:sz w:val="24"/>
        </w:rPr>
        <w:tab/>
        <w:t xml:space="preserve">If Members are supportive of these additions, the scheme wording could include the following:- </w:t>
      </w:r>
    </w:p>
    <w:p w:rsidR="00EE0A9B" w:rsidRDefault="00EE0A9B" w:rsidP="00D4606F">
      <w:pPr>
        <w:pStyle w:val="BodyText"/>
        <w:tabs>
          <w:tab w:val="left" w:pos="720"/>
          <w:tab w:val="num" w:pos="1440"/>
        </w:tabs>
        <w:ind w:left="720" w:hanging="720"/>
        <w:rPr>
          <w:b/>
          <w:sz w:val="24"/>
        </w:rPr>
      </w:pPr>
    </w:p>
    <w:p w:rsidR="00EE0A9B" w:rsidRPr="00EE0A9B" w:rsidRDefault="00EE0A9B" w:rsidP="00EE0A9B">
      <w:pPr>
        <w:pStyle w:val="BodyText"/>
        <w:tabs>
          <w:tab w:val="left" w:pos="720"/>
          <w:tab w:val="num" w:pos="1440"/>
        </w:tabs>
        <w:ind w:left="720" w:hanging="720"/>
        <w:rPr>
          <w:i/>
          <w:sz w:val="24"/>
          <w:u w:val="single"/>
        </w:rPr>
      </w:pPr>
      <w:r w:rsidRPr="00EE0A9B">
        <w:rPr>
          <w:sz w:val="24"/>
        </w:rPr>
        <w:tab/>
      </w:r>
      <w:r w:rsidRPr="00EE0A9B">
        <w:rPr>
          <w:i/>
          <w:sz w:val="24"/>
          <w:u w:val="single"/>
        </w:rPr>
        <w:t>Child Care Allowance</w:t>
      </w:r>
    </w:p>
    <w:p w:rsidR="00EE0A9B" w:rsidRPr="00EE0A9B" w:rsidRDefault="00EE0A9B" w:rsidP="00EE0A9B">
      <w:pPr>
        <w:pStyle w:val="BodyText"/>
        <w:tabs>
          <w:tab w:val="left" w:pos="720"/>
          <w:tab w:val="num" w:pos="1440"/>
        </w:tabs>
        <w:ind w:left="720" w:hanging="720"/>
        <w:rPr>
          <w:i/>
          <w:sz w:val="24"/>
        </w:rPr>
      </w:pPr>
      <w:r w:rsidRPr="00EE0A9B">
        <w:rPr>
          <w:i/>
          <w:sz w:val="24"/>
        </w:rPr>
        <w:t xml:space="preserve"> </w:t>
      </w:r>
    </w:p>
    <w:p w:rsidR="00EE0A9B" w:rsidRPr="00EE0A9B" w:rsidRDefault="00EE0A9B" w:rsidP="00EE0A9B">
      <w:pPr>
        <w:pStyle w:val="BodyText"/>
        <w:tabs>
          <w:tab w:val="left" w:pos="720"/>
          <w:tab w:val="num" w:pos="1440"/>
        </w:tabs>
        <w:ind w:left="720" w:hanging="720"/>
        <w:rPr>
          <w:i/>
          <w:sz w:val="24"/>
        </w:rPr>
      </w:pPr>
      <w:r w:rsidRPr="00EE0A9B">
        <w:rPr>
          <w:i/>
          <w:sz w:val="24"/>
        </w:rPr>
        <w:tab/>
        <w:t>A Member is able to seek reimbursement of actual expenditure incurred on caring costs whilst attending official Meetings or other approved duties, up to a maximum sum per hour.  The allowance is paid not only in respect of the duration of attendance at a particular Meeting by a Member but also in respect of “door to door” travel time to and from approved duties.</w:t>
      </w:r>
    </w:p>
    <w:p w:rsidR="00EE0A9B" w:rsidRPr="00EE0A9B" w:rsidRDefault="00EE0A9B" w:rsidP="00EE0A9B">
      <w:pPr>
        <w:pStyle w:val="BodyText"/>
        <w:tabs>
          <w:tab w:val="left" w:pos="720"/>
          <w:tab w:val="num" w:pos="1440"/>
        </w:tabs>
        <w:ind w:left="720" w:hanging="720"/>
        <w:rPr>
          <w:i/>
          <w:sz w:val="24"/>
        </w:rPr>
      </w:pPr>
      <w:r w:rsidRPr="00EE0A9B">
        <w:rPr>
          <w:i/>
          <w:sz w:val="24"/>
        </w:rPr>
        <w:t xml:space="preserve"> </w:t>
      </w:r>
    </w:p>
    <w:p w:rsidR="00EE0A9B" w:rsidRPr="00EE0A9B" w:rsidRDefault="00EE0A9B" w:rsidP="00EE0A9B">
      <w:pPr>
        <w:pStyle w:val="BodyText"/>
        <w:tabs>
          <w:tab w:val="left" w:pos="720"/>
          <w:tab w:val="num" w:pos="1440"/>
        </w:tabs>
        <w:ind w:left="720" w:hanging="720"/>
        <w:rPr>
          <w:i/>
          <w:sz w:val="24"/>
        </w:rPr>
      </w:pPr>
      <w:r w:rsidRPr="00EE0A9B">
        <w:rPr>
          <w:i/>
          <w:sz w:val="24"/>
        </w:rPr>
        <w:tab/>
        <w:t>The allowance is payable to any Member with a child or children under the age of 14 years who is/are, at the time, part of the claimant’s household living with him/her and who would normally be looked after by him/her.  The carer must not be someone who also ordinarily lives with the claimant as part of the household.</w:t>
      </w:r>
    </w:p>
    <w:p w:rsidR="00EE0A9B" w:rsidRPr="00EE0A9B" w:rsidRDefault="00EE0A9B" w:rsidP="00EE0A9B">
      <w:pPr>
        <w:pStyle w:val="BodyText"/>
        <w:tabs>
          <w:tab w:val="left" w:pos="720"/>
          <w:tab w:val="num" w:pos="1440"/>
        </w:tabs>
        <w:ind w:left="720" w:hanging="720"/>
        <w:rPr>
          <w:i/>
          <w:sz w:val="24"/>
        </w:rPr>
      </w:pPr>
      <w:r w:rsidRPr="00EE0A9B">
        <w:rPr>
          <w:i/>
          <w:sz w:val="24"/>
        </w:rPr>
        <w:t xml:space="preserve"> </w:t>
      </w:r>
    </w:p>
    <w:p w:rsidR="00EE0A9B" w:rsidRPr="00EE0A9B" w:rsidRDefault="00EE0A9B" w:rsidP="00EE0A9B">
      <w:pPr>
        <w:pStyle w:val="BodyText"/>
        <w:tabs>
          <w:tab w:val="left" w:pos="720"/>
          <w:tab w:val="num" w:pos="1440"/>
        </w:tabs>
        <w:ind w:left="720" w:hanging="720"/>
        <w:rPr>
          <w:i/>
          <w:sz w:val="24"/>
        </w:rPr>
      </w:pPr>
      <w:r w:rsidRPr="00EE0A9B">
        <w:rPr>
          <w:i/>
          <w:sz w:val="24"/>
        </w:rPr>
        <w:lastRenderedPageBreak/>
        <w:tab/>
        <w:t xml:space="preserve">The claimant must produce a receipt/return certified by the carer to validate any claim. (N.B. A separate claim form is available in the respect). </w:t>
      </w:r>
    </w:p>
    <w:p w:rsidR="00EE0A9B" w:rsidRPr="00EE0A9B" w:rsidRDefault="00EE0A9B" w:rsidP="00EE0A9B">
      <w:pPr>
        <w:pStyle w:val="BodyText"/>
        <w:tabs>
          <w:tab w:val="left" w:pos="720"/>
          <w:tab w:val="num" w:pos="1440"/>
        </w:tabs>
        <w:ind w:left="720" w:hanging="720"/>
        <w:rPr>
          <w:i/>
          <w:sz w:val="24"/>
        </w:rPr>
      </w:pPr>
      <w:r w:rsidRPr="00EE0A9B">
        <w:rPr>
          <w:i/>
          <w:sz w:val="24"/>
        </w:rPr>
        <w:t xml:space="preserve"> </w:t>
      </w:r>
    </w:p>
    <w:p w:rsidR="00EE0A9B" w:rsidRPr="00EE0A9B" w:rsidRDefault="00EE0A9B" w:rsidP="00EE0A9B">
      <w:pPr>
        <w:pStyle w:val="BodyText"/>
        <w:tabs>
          <w:tab w:val="left" w:pos="720"/>
          <w:tab w:val="num" w:pos="1440"/>
        </w:tabs>
        <w:ind w:left="720" w:hanging="720"/>
        <w:rPr>
          <w:i/>
          <w:sz w:val="24"/>
        </w:rPr>
      </w:pPr>
      <w:r w:rsidRPr="00EE0A9B">
        <w:rPr>
          <w:i/>
          <w:sz w:val="24"/>
        </w:rPr>
        <w:tab/>
      </w:r>
      <w:r w:rsidRPr="00EE0A9B">
        <w:rPr>
          <w:i/>
          <w:sz w:val="24"/>
          <w:u w:val="single"/>
        </w:rPr>
        <w:t>Dependant Care Allowance</w:t>
      </w:r>
    </w:p>
    <w:p w:rsidR="00EE0A9B" w:rsidRPr="00EE0A9B" w:rsidRDefault="00EE0A9B" w:rsidP="00EE0A9B">
      <w:pPr>
        <w:pStyle w:val="BodyText"/>
        <w:tabs>
          <w:tab w:val="left" w:pos="720"/>
          <w:tab w:val="num" w:pos="1440"/>
        </w:tabs>
        <w:ind w:left="720" w:hanging="720"/>
        <w:rPr>
          <w:i/>
          <w:sz w:val="24"/>
        </w:rPr>
      </w:pPr>
      <w:r w:rsidRPr="00EE0A9B">
        <w:rPr>
          <w:i/>
          <w:sz w:val="24"/>
        </w:rPr>
        <w:t xml:space="preserve"> </w:t>
      </w:r>
    </w:p>
    <w:p w:rsidR="00EE0A9B" w:rsidRPr="00EE0A9B" w:rsidRDefault="00EE0A9B" w:rsidP="00EE0A9B">
      <w:pPr>
        <w:pStyle w:val="BodyText"/>
        <w:tabs>
          <w:tab w:val="left" w:pos="720"/>
          <w:tab w:val="num" w:pos="1440"/>
        </w:tabs>
        <w:ind w:left="720" w:hanging="720"/>
        <w:rPr>
          <w:i/>
          <w:sz w:val="24"/>
        </w:rPr>
      </w:pPr>
      <w:r w:rsidRPr="00EE0A9B">
        <w:rPr>
          <w:i/>
          <w:sz w:val="24"/>
        </w:rPr>
        <w:tab/>
        <w:t>A Member is able to seek reimbursement of actual expenditure incurred on caring costs whilst attending official Meetings or other approved duties, up to a maximum sum per hour.  The allowance is paid not only in respect of the duration of attendance at a particular Meeting by a Member but also in respect of “door to door” travel time to and from approved duties.</w:t>
      </w:r>
    </w:p>
    <w:p w:rsidR="00EE0A9B" w:rsidRPr="00EE0A9B" w:rsidRDefault="00EE0A9B" w:rsidP="00EE0A9B">
      <w:pPr>
        <w:pStyle w:val="BodyText"/>
        <w:tabs>
          <w:tab w:val="left" w:pos="720"/>
          <w:tab w:val="num" w:pos="1440"/>
        </w:tabs>
        <w:ind w:left="720" w:hanging="720"/>
        <w:rPr>
          <w:i/>
          <w:sz w:val="24"/>
        </w:rPr>
      </w:pPr>
      <w:r w:rsidRPr="00EE0A9B">
        <w:rPr>
          <w:i/>
          <w:sz w:val="24"/>
        </w:rPr>
        <w:t xml:space="preserve"> </w:t>
      </w:r>
    </w:p>
    <w:p w:rsidR="00EE0A9B" w:rsidRPr="00EE0A9B" w:rsidRDefault="00EE0A9B" w:rsidP="00EE0A9B">
      <w:pPr>
        <w:pStyle w:val="BodyText"/>
        <w:tabs>
          <w:tab w:val="left" w:pos="720"/>
          <w:tab w:val="num" w:pos="1440"/>
        </w:tabs>
        <w:ind w:left="720" w:hanging="720"/>
        <w:rPr>
          <w:i/>
          <w:sz w:val="24"/>
        </w:rPr>
      </w:pPr>
      <w:r w:rsidRPr="00EE0A9B">
        <w:rPr>
          <w:i/>
          <w:sz w:val="24"/>
        </w:rPr>
        <w:tab/>
        <w:t>The allowance is payable to any Member with a dependant relative or relatives who would normally be looked after by him/her.  The carer must not be someone who ordinarily lives with the claimant as part of the household.</w:t>
      </w:r>
    </w:p>
    <w:p w:rsidR="00EE0A9B" w:rsidRPr="00EE0A9B" w:rsidRDefault="00EE0A9B" w:rsidP="00EE0A9B">
      <w:pPr>
        <w:pStyle w:val="BodyText"/>
        <w:tabs>
          <w:tab w:val="left" w:pos="720"/>
          <w:tab w:val="num" w:pos="1440"/>
        </w:tabs>
        <w:ind w:left="720" w:hanging="720"/>
        <w:rPr>
          <w:i/>
          <w:sz w:val="24"/>
        </w:rPr>
      </w:pPr>
      <w:r w:rsidRPr="00EE0A9B">
        <w:rPr>
          <w:i/>
          <w:sz w:val="24"/>
        </w:rPr>
        <w:t xml:space="preserve"> </w:t>
      </w:r>
    </w:p>
    <w:p w:rsidR="00EE0A9B" w:rsidRPr="00EE0A9B" w:rsidRDefault="00EE0A9B" w:rsidP="00EE0A9B">
      <w:pPr>
        <w:pStyle w:val="BodyText"/>
        <w:tabs>
          <w:tab w:val="left" w:pos="720"/>
          <w:tab w:val="num" w:pos="1440"/>
        </w:tabs>
        <w:ind w:left="720" w:hanging="720"/>
        <w:rPr>
          <w:i/>
          <w:sz w:val="24"/>
        </w:rPr>
      </w:pPr>
      <w:r w:rsidRPr="00EE0A9B">
        <w:rPr>
          <w:i/>
          <w:sz w:val="24"/>
        </w:rPr>
        <w:tab/>
        <w:t>The claimant must produce a receipt/return certified by the carer to validate any claim. (N.B. A separate claim form is available in the respect).</w:t>
      </w:r>
    </w:p>
    <w:p w:rsidR="00EE0A9B" w:rsidRPr="00EE0A9B" w:rsidRDefault="00EE0A9B" w:rsidP="00EE0A9B">
      <w:pPr>
        <w:pStyle w:val="BodyText"/>
        <w:tabs>
          <w:tab w:val="left" w:pos="720"/>
          <w:tab w:val="num" w:pos="1440"/>
        </w:tabs>
        <w:ind w:left="720" w:hanging="720"/>
        <w:rPr>
          <w:sz w:val="24"/>
        </w:rPr>
      </w:pPr>
      <w:r w:rsidRPr="00EE0A9B">
        <w:rPr>
          <w:sz w:val="24"/>
        </w:rPr>
        <w:t xml:space="preserve"> </w:t>
      </w:r>
    </w:p>
    <w:p w:rsidR="00EE0A9B" w:rsidRPr="00EE0A9B" w:rsidRDefault="00EE0A9B" w:rsidP="00EE0A9B">
      <w:pPr>
        <w:pStyle w:val="BodyText"/>
        <w:tabs>
          <w:tab w:val="left" w:pos="720"/>
          <w:tab w:val="num" w:pos="1440"/>
        </w:tabs>
        <w:ind w:left="720" w:hanging="720"/>
        <w:rPr>
          <w:sz w:val="24"/>
        </w:rPr>
      </w:pPr>
      <w:r>
        <w:rPr>
          <w:sz w:val="24"/>
        </w:rPr>
        <w:t>12.</w:t>
      </w:r>
      <w:r>
        <w:rPr>
          <w:sz w:val="24"/>
        </w:rPr>
        <w:tab/>
      </w:r>
      <w:r w:rsidR="000B37BC">
        <w:rPr>
          <w:sz w:val="24"/>
        </w:rPr>
        <w:t>One further aspect, which has also been the subject of communications with Defra, relates to the payment of p</w:t>
      </w:r>
      <w:r w:rsidRPr="00EE0A9B">
        <w:rPr>
          <w:sz w:val="24"/>
        </w:rPr>
        <w:t xml:space="preserve">articular travel costs associated </w:t>
      </w:r>
      <w:r w:rsidR="000B37BC">
        <w:rPr>
          <w:sz w:val="24"/>
        </w:rPr>
        <w:t xml:space="preserve">with the needs of </w:t>
      </w:r>
      <w:r w:rsidRPr="00EE0A9B">
        <w:rPr>
          <w:sz w:val="24"/>
        </w:rPr>
        <w:t>members</w:t>
      </w:r>
      <w:r w:rsidR="000B37BC">
        <w:rPr>
          <w:sz w:val="24"/>
        </w:rPr>
        <w:t xml:space="preserve"> who are disabled and/or have other special needs, over and above the standard allowances.  It is recommended that the Director </w:t>
      </w:r>
      <w:r w:rsidR="000B37BC">
        <w:rPr>
          <w:sz w:val="24"/>
        </w:rPr>
        <w:lastRenderedPageBreak/>
        <w:t>be given delegated authority to approve any additional</w:t>
      </w:r>
      <w:r w:rsidR="008E6263">
        <w:rPr>
          <w:sz w:val="24"/>
        </w:rPr>
        <w:t>/exceptional</w:t>
      </w:r>
      <w:r w:rsidR="000B37BC">
        <w:rPr>
          <w:sz w:val="24"/>
        </w:rPr>
        <w:t xml:space="preserve"> expenditure in such circumstances.</w:t>
      </w:r>
    </w:p>
    <w:p w:rsidR="00EE0A9B" w:rsidRPr="008E6263" w:rsidRDefault="00EE0A9B" w:rsidP="000B37BC">
      <w:pPr>
        <w:pStyle w:val="BodyText"/>
        <w:tabs>
          <w:tab w:val="left" w:pos="720"/>
          <w:tab w:val="num" w:pos="1440"/>
        </w:tabs>
        <w:rPr>
          <w:sz w:val="24"/>
        </w:rPr>
      </w:pPr>
    </w:p>
    <w:p w:rsidR="000B37BC" w:rsidRPr="008E6263" w:rsidRDefault="000B37BC" w:rsidP="000B37BC">
      <w:pPr>
        <w:pStyle w:val="BodyText"/>
        <w:tabs>
          <w:tab w:val="left" w:pos="720"/>
          <w:tab w:val="num" w:pos="1440"/>
        </w:tabs>
        <w:rPr>
          <w:sz w:val="24"/>
        </w:rPr>
      </w:pPr>
      <w:r w:rsidRPr="008E6263">
        <w:rPr>
          <w:sz w:val="24"/>
        </w:rPr>
        <w:t>13.</w:t>
      </w:r>
      <w:r w:rsidRPr="008E6263">
        <w:rPr>
          <w:sz w:val="24"/>
        </w:rPr>
        <w:tab/>
        <w:t xml:space="preserve">If approved, it is expected that the financial implications of the above allowances </w:t>
      </w:r>
      <w:r w:rsidR="008E6263">
        <w:rPr>
          <w:sz w:val="24"/>
        </w:rPr>
        <w:tab/>
      </w:r>
      <w:r w:rsidR="008E6263" w:rsidRPr="008E6263">
        <w:rPr>
          <w:sz w:val="24"/>
        </w:rPr>
        <w:t>can be met from existing budgets.</w:t>
      </w:r>
    </w:p>
    <w:p w:rsidR="000B37BC" w:rsidRDefault="000B37BC" w:rsidP="000B37BC">
      <w:pPr>
        <w:pStyle w:val="BodyText"/>
        <w:tabs>
          <w:tab w:val="left" w:pos="720"/>
          <w:tab w:val="num" w:pos="1440"/>
        </w:tabs>
        <w:rPr>
          <w:b/>
          <w:sz w:val="24"/>
        </w:rPr>
      </w:pPr>
    </w:p>
    <w:p w:rsidR="00E07603" w:rsidRPr="00E07603" w:rsidRDefault="00566C77" w:rsidP="00D4606F">
      <w:pPr>
        <w:pStyle w:val="BodyText"/>
        <w:tabs>
          <w:tab w:val="left" w:pos="720"/>
          <w:tab w:val="num" w:pos="1440"/>
        </w:tabs>
        <w:ind w:left="720" w:hanging="720"/>
        <w:rPr>
          <w:b/>
          <w:sz w:val="24"/>
        </w:rPr>
      </w:pPr>
      <w:r>
        <w:rPr>
          <w:b/>
          <w:sz w:val="24"/>
        </w:rPr>
        <w:t>Possible Way Forward</w:t>
      </w:r>
    </w:p>
    <w:p w:rsidR="00E07603" w:rsidRDefault="00E07603" w:rsidP="00D4606F">
      <w:pPr>
        <w:pStyle w:val="BodyText"/>
        <w:tabs>
          <w:tab w:val="left" w:pos="720"/>
          <w:tab w:val="num" w:pos="1440"/>
        </w:tabs>
        <w:ind w:left="720" w:hanging="720"/>
        <w:rPr>
          <w:sz w:val="24"/>
        </w:rPr>
      </w:pPr>
    </w:p>
    <w:p w:rsidR="00566C77" w:rsidRDefault="008E6263" w:rsidP="00E07603">
      <w:pPr>
        <w:pStyle w:val="BodyText"/>
        <w:tabs>
          <w:tab w:val="left" w:pos="720"/>
          <w:tab w:val="num" w:pos="1440"/>
        </w:tabs>
        <w:ind w:left="720" w:hanging="720"/>
        <w:rPr>
          <w:sz w:val="24"/>
        </w:rPr>
      </w:pPr>
      <w:r>
        <w:rPr>
          <w:sz w:val="24"/>
        </w:rPr>
        <w:t>14</w:t>
      </w:r>
      <w:r w:rsidR="00E07603">
        <w:rPr>
          <w:sz w:val="24"/>
        </w:rPr>
        <w:t>.</w:t>
      </w:r>
      <w:r w:rsidR="00E07603">
        <w:rPr>
          <w:sz w:val="24"/>
        </w:rPr>
        <w:tab/>
      </w:r>
      <w:r w:rsidR="00566C77">
        <w:rPr>
          <w:sz w:val="24"/>
        </w:rPr>
        <w:t>The CDC review highlighted the issues faced by continually freezing allowances.  However, whilst the principles are relevant, the values are considerably different between CDC and the Board, as are the overall requirements of Members.</w:t>
      </w:r>
    </w:p>
    <w:p w:rsidR="00566C77" w:rsidRDefault="00566C77" w:rsidP="00E07603">
      <w:pPr>
        <w:pStyle w:val="BodyText"/>
        <w:tabs>
          <w:tab w:val="left" w:pos="720"/>
          <w:tab w:val="num" w:pos="1440"/>
        </w:tabs>
        <w:ind w:left="720" w:hanging="720"/>
        <w:rPr>
          <w:sz w:val="24"/>
        </w:rPr>
      </w:pPr>
    </w:p>
    <w:p w:rsidR="003833E4" w:rsidRPr="00AA41F3" w:rsidRDefault="008E6263" w:rsidP="00E07603">
      <w:pPr>
        <w:pStyle w:val="BodyText"/>
        <w:tabs>
          <w:tab w:val="left" w:pos="720"/>
          <w:tab w:val="num" w:pos="1440"/>
        </w:tabs>
        <w:ind w:left="720" w:hanging="720"/>
        <w:rPr>
          <w:sz w:val="24"/>
        </w:rPr>
      </w:pPr>
      <w:r>
        <w:rPr>
          <w:sz w:val="24"/>
        </w:rPr>
        <w:t>15</w:t>
      </w:r>
      <w:r w:rsidR="00566C77">
        <w:rPr>
          <w:sz w:val="24"/>
        </w:rPr>
        <w:t>.</w:t>
      </w:r>
      <w:r w:rsidR="00566C77">
        <w:rPr>
          <w:sz w:val="24"/>
        </w:rPr>
        <w:tab/>
        <w:t>The CDC position will not be known for some months.  Given</w:t>
      </w:r>
      <w:r w:rsidR="00E72768">
        <w:rPr>
          <w:sz w:val="24"/>
        </w:rPr>
        <w:t xml:space="preserve"> this, and</w:t>
      </w:r>
      <w:r w:rsidR="00566C77">
        <w:rPr>
          <w:sz w:val="24"/>
        </w:rPr>
        <w:t xml:space="preserve"> the fact that the Board’s allowances were increased for 2018/19, an option would be for the Board’s </w:t>
      </w:r>
      <w:r>
        <w:rPr>
          <w:sz w:val="24"/>
        </w:rPr>
        <w:t xml:space="preserve">current </w:t>
      </w:r>
      <w:r w:rsidR="00566C77">
        <w:rPr>
          <w:sz w:val="24"/>
        </w:rPr>
        <w:t>allowances to remain unchanged for 2019/20</w:t>
      </w:r>
      <w:r w:rsidR="00E72768">
        <w:rPr>
          <w:sz w:val="24"/>
        </w:rPr>
        <w:t xml:space="preserve"> and for a further review to occur at this time next year having regard to the outcome of the CDC ‘debate’.  This approach is supported by the Director; who has drawn attention to the fact that no concerns have been expressed regarding allowance levels during the year.</w:t>
      </w:r>
      <w:r>
        <w:rPr>
          <w:sz w:val="24"/>
        </w:rPr>
        <w:t xml:space="preserve">  The Board’s views would still be welcome in respect of the introduction or otherwise of the additional allowances identified within paragraphs 10-13 above.</w:t>
      </w:r>
    </w:p>
    <w:p w:rsidR="001A2C85" w:rsidRDefault="001A2C85" w:rsidP="00E72768">
      <w:pPr>
        <w:tabs>
          <w:tab w:val="left" w:pos="720"/>
          <w:tab w:val="num" w:pos="2880"/>
        </w:tabs>
        <w:rPr>
          <w:rFonts w:ascii="Arial" w:hAnsi="Arial" w:cs="Arial"/>
        </w:rPr>
      </w:pPr>
    </w:p>
    <w:p w:rsidR="00422A21" w:rsidRPr="001A2C85" w:rsidRDefault="008E6263" w:rsidP="001A2C85">
      <w:pPr>
        <w:tabs>
          <w:tab w:val="left" w:pos="720"/>
          <w:tab w:val="num" w:pos="2880"/>
        </w:tabs>
        <w:ind w:left="720" w:hanging="720"/>
        <w:rPr>
          <w:rFonts w:ascii="Arial" w:hAnsi="Arial" w:cs="Arial"/>
        </w:rPr>
      </w:pPr>
      <w:r>
        <w:rPr>
          <w:rFonts w:ascii="Arial" w:hAnsi="Arial" w:cs="Arial"/>
        </w:rPr>
        <w:lastRenderedPageBreak/>
        <w:t>16</w:t>
      </w:r>
      <w:r w:rsidR="001A2C85" w:rsidRPr="001A2C85">
        <w:rPr>
          <w:rFonts w:ascii="Arial" w:hAnsi="Arial" w:cs="Arial"/>
        </w:rPr>
        <w:t>.</w:t>
      </w:r>
      <w:r w:rsidR="001A2C85" w:rsidRPr="001A2C85">
        <w:rPr>
          <w:rFonts w:ascii="Arial" w:hAnsi="Arial" w:cs="Arial"/>
        </w:rPr>
        <w:tab/>
        <w:t>It should also be remembered that a</w:t>
      </w:r>
      <w:r w:rsidR="00422A21" w:rsidRPr="001A2C85">
        <w:rPr>
          <w:rFonts w:ascii="Arial" w:hAnsi="Arial" w:cs="Arial"/>
        </w:rPr>
        <w:t xml:space="preserve">ny </w:t>
      </w:r>
      <w:r>
        <w:rPr>
          <w:rFonts w:ascii="Arial" w:hAnsi="Arial" w:cs="Arial"/>
        </w:rPr>
        <w:t>Board M</w:t>
      </w:r>
      <w:r w:rsidR="00035919">
        <w:rPr>
          <w:rFonts w:ascii="Arial" w:hAnsi="Arial" w:cs="Arial"/>
        </w:rPr>
        <w:t>ember</w:t>
      </w:r>
      <w:r w:rsidR="00422A21" w:rsidRPr="001A2C85">
        <w:rPr>
          <w:rFonts w:ascii="Arial" w:hAnsi="Arial" w:cs="Arial"/>
        </w:rPr>
        <w:t xml:space="preserve"> can elect to fo</w:t>
      </w:r>
      <w:r w:rsidR="00035919">
        <w:rPr>
          <w:rFonts w:ascii="Arial" w:hAnsi="Arial" w:cs="Arial"/>
        </w:rPr>
        <w:t>rego all or part of any of the</w:t>
      </w:r>
      <w:r w:rsidR="00422A21" w:rsidRPr="001A2C85">
        <w:rPr>
          <w:rFonts w:ascii="Arial" w:hAnsi="Arial" w:cs="Arial"/>
        </w:rPr>
        <w:t xml:space="preserve"> allowances</w:t>
      </w:r>
      <w:r w:rsidR="00035919">
        <w:rPr>
          <w:rFonts w:ascii="Arial" w:hAnsi="Arial" w:cs="Arial"/>
        </w:rPr>
        <w:t xml:space="preserve"> to which they are entitled</w:t>
      </w:r>
      <w:r w:rsidR="001A2C85" w:rsidRPr="001A2C85">
        <w:rPr>
          <w:rFonts w:ascii="Arial" w:hAnsi="Arial" w:cs="Arial"/>
        </w:rPr>
        <w:t>.</w:t>
      </w:r>
    </w:p>
    <w:p w:rsidR="000B37BC" w:rsidRDefault="000B37BC" w:rsidP="00D84804">
      <w:pPr>
        <w:rPr>
          <w:rFonts w:ascii="Arial" w:hAnsi="Arial" w:cs="Arial"/>
          <w:b/>
        </w:rPr>
      </w:pPr>
    </w:p>
    <w:p w:rsidR="00D84804" w:rsidRDefault="00D84804" w:rsidP="00D84804">
      <w:pPr>
        <w:rPr>
          <w:rFonts w:ascii="Arial" w:hAnsi="Arial" w:cs="Arial"/>
          <w:b/>
        </w:rPr>
      </w:pPr>
      <w:r w:rsidRPr="00B1422E">
        <w:rPr>
          <w:rFonts w:ascii="Arial" w:hAnsi="Arial" w:cs="Arial"/>
          <w:b/>
        </w:rPr>
        <w:t>Supporting Paper:</w:t>
      </w:r>
      <w:r>
        <w:rPr>
          <w:rFonts w:ascii="Arial" w:hAnsi="Arial" w:cs="Arial"/>
          <w:b/>
        </w:rPr>
        <w:t xml:space="preserve"> </w:t>
      </w:r>
    </w:p>
    <w:p w:rsidR="008E6263" w:rsidRDefault="008E6263">
      <w:pPr>
        <w:rPr>
          <w:rFonts w:ascii="Arial" w:hAnsi="Arial" w:cs="Arial"/>
          <w:b/>
        </w:rPr>
      </w:pPr>
    </w:p>
    <w:p w:rsidR="00F1221F" w:rsidRPr="00E72768" w:rsidRDefault="00D84804">
      <w:pPr>
        <w:rPr>
          <w:rFonts w:ascii="Arial" w:hAnsi="Arial" w:cs="Arial"/>
          <w:b/>
        </w:rPr>
      </w:pPr>
      <w:r>
        <w:rPr>
          <w:rFonts w:ascii="Arial" w:hAnsi="Arial" w:cs="Arial"/>
          <w:b/>
        </w:rPr>
        <w:t>A</w:t>
      </w:r>
      <w:r w:rsidRPr="00B1422E">
        <w:rPr>
          <w:rFonts w:ascii="Arial" w:hAnsi="Arial" w:cs="Arial"/>
          <w:b/>
        </w:rPr>
        <w:t>ppendix</w:t>
      </w:r>
      <w:r w:rsidR="008A4370">
        <w:rPr>
          <w:rFonts w:ascii="Arial" w:hAnsi="Arial" w:cs="Arial"/>
          <w:b/>
        </w:rPr>
        <w:t xml:space="preserve"> ‘A’ - Current</w:t>
      </w:r>
      <w:r>
        <w:rPr>
          <w:rFonts w:ascii="Arial" w:hAnsi="Arial" w:cs="Arial"/>
          <w:b/>
        </w:rPr>
        <w:t xml:space="preserve"> Scheme</w:t>
      </w:r>
      <w:r w:rsidR="008A4370">
        <w:rPr>
          <w:rFonts w:ascii="Arial" w:hAnsi="Arial" w:cs="Arial"/>
          <w:b/>
        </w:rPr>
        <w:t xml:space="preserve"> of Members’ Allowances</w:t>
      </w:r>
    </w:p>
    <w:sectPr w:rsidR="00F1221F" w:rsidRPr="00E72768" w:rsidSect="0036597F">
      <w:pgSz w:w="11906" w:h="16838"/>
      <w:pgMar w:top="899" w:right="1286" w:bottom="1258"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8B1" w:rsidRDefault="008C68B1">
      <w:r>
        <w:separator/>
      </w:r>
    </w:p>
  </w:endnote>
  <w:endnote w:type="continuationSeparator" w:id="0">
    <w:p w:rsidR="008C68B1" w:rsidRDefault="008C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8B1" w:rsidRDefault="008C68B1">
      <w:r>
        <w:separator/>
      </w:r>
    </w:p>
  </w:footnote>
  <w:footnote w:type="continuationSeparator" w:id="0">
    <w:p w:rsidR="008C68B1" w:rsidRDefault="008C6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872A6"/>
    <w:multiLevelType w:val="hybridMultilevel"/>
    <w:tmpl w:val="35A44C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A1E6A20"/>
    <w:multiLevelType w:val="hybridMultilevel"/>
    <w:tmpl w:val="FDF8A346"/>
    <w:lvl w:ilvl="0" w:tplc="BF18AC6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3ECA17B7"/>
    <w:multiLevelType w:val="hybridMultilevel"/>
    <w:tmpl w:val="1750A9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B111257"/>
    <w:multiLevelType w:val="hybridMultilevel"/>
    <w:tmpl w:val="849A95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804"/>
    <w:rsid w:val="000053AE"/>
    <w:rsid w:val="00035919"/>
    <w:rsid w:val="00060680"/>
    <w:rsid w:val="00090C3E"/>
    <w:rsid w:val="000B37BC"/>
    <w:rsid w:val="000C3EA9"/>
    <w:rsid w:val="000C7EA9"/>
    <w:rsid w:val="000D7CEE"/>
    <w:rsid w:val="000E52B9"/>
    <w:rsid w:val="00120A27"/>
    <w:rsid w:val="001254FA"/>
    <w:rsid w:val="001434DA"/>
    <w:rsid w:val="001A2C85"/>
    <w:rsid w:val="001F44BB"/>
    <w:rsid w:val="002337CD"/>
    <w:rsid w:val="00234C98"/>
    <w:rsid w:val="00282C7C"/>
    <w:rsid w:val="002857C8"/>
    <w:rsid w:val="003363B7"/>
    <w:rsid w:val="0036597F"/>
    <w:rsid w:val="00365CBE"/>
    <w:rsid w:val="003833E4"/>
    <w:rsid w:val="003A768B"/>
    <w:rsid w:val="003A7801"/>
    <w:rsid w:val="00411341"/>
    <w:rsid w:val="00422A21"/>
    <w:rsid w:val="0043576B"/>
    <w:rsid w:val="00464F36"/>
    <w:rsid w:val="004C157B"/>
    <w:rsid w:val="004C4406"/>
    <w:rsid w:val="004F0AF3"/>
    <w:rsid w:val="004F7418"/>
    <w:rsid w:val="00503238"/>
    <w:rsid w:val="00513AB0"/>
    <w:rsid w:val="00514274"/>
    <w:rsid w:val="00562B96"/>
    <w:rsid w:val="00566C77"/>
    <w:rsid w:val="00585ED2"/>
    <w:rsid w:val="005A3559"/>
    <w:rsid w:val="005B37DA"/>
    <w:rsid w:val="005C4244"/>
    <w:rsid w:val="005E47E8"/>
    <w:rsid w:val="005E7402"/>
    <w:rsid w:val="00601F20"/>
    <w:rsid w:val="00621D97"/>
    <w:rsid w:val="00626E2F"/>
    <w:rsid w:val="00646A53"/>
    <w:rsid w:val="00690E93"/>
    <w:rsid w:val="006915A3"/>
    <w:rsid w:val="006B0FE7"/>
    <w:rsid w:val="006C0112"/>
    <w:rsid w:val="007550BD"/>
    <w:rsid w:val="0076455D"/>
    <w:rsid w:val="00773103"/>
    <w:rsid w:val="00795728"/>
    <w:rsid w:val="007B6C67"/>
    <w:rsid w:val="008067C3"/>
    <w:rsid w:val="00820A79"/>
    <w:rsid w:val="00871920"/>
    <w:rsid w:val="008A4370"/>
    <w:rsid w:val="008C68B1"/>
    <w:rsid w:val="008E359C"/>
    <w:rsid w:val="008E6263"/>
    <w:rsid w:val="008E7896"/>
    <w:rsid w:val="00900FBA"/>
    <w:rsid w:val="009277D1"/>
    <w:rsid w:val="009575AB"/>
    <w:rsid w:val="009A6E39"/>
    <w:rsid w:val="009C5411"/>
    <w:rsid w:val="009D2EBE"/>
    <w:rsid w:val="00A1142E"/>
    <w:rsid w:val="00A34BD8"/>
    <w:rsid w:val="00A62749"/>
    <w:rsid w:val="00A749C7"/>
    <w:rsid w:val="00A763DC"/>
    <w:rsid w:val="00AA41F3"/>
    <w:rsid w:val="00B11413"/>
    <w:rsid w:val="00B14C85"/>
    <w:rsid w:val="00B748EF"/>
    <w:rsid w:val="00C54949"/>
    <w:rsid w:val="00CA1718"/>
    <w:rsid w:val="00CB73F6"/>
    <w:rsid w:val="00CD0EAA"/>
    <w:rsid w:val="00CD1ACC"/>
    <w:rsid w:val="00D16E4F"/>
    <w:rsid w:val="00D31303"/>
    <w:rsid w:val="00D4520E"/>
    <w:rsid w:val="00D4606F"/>
    <w:rsid w:val="00D815C8"/>
    <w:rsid w:val="00D84804"/>
    <w:rsid w:val="00DA4CB9"/>
    <w:rsid w:val="00DB35E6"/>
    <w:rsid w:val="00DF5824"/>
    <w:rsid w:val="00E07603"/>
    <w:rsid w:val="00E12FA5"/>
    <w:rsid w:val="00E15A5B"/>
    <w:rsid w:val="00E24B7B"/>
    <w:rsid w:val="00E52955"/>
    <w:rsid w:val="00E60880"/>
    <w:rsid w:val="00E72768"/>
    <w:rsid w:val="00EE0A9B"/>
    <w:rsid w:val="00F115F3"/>
    <w:rsid w:val="00F11E7B"/>
    <w:rsid w:val="00F1221F"/>
    <w:rsid w:val="00F43EAF"/>
    <w:rsid w:val="00F64388"/>
    <w:rsid w:val="00F94B81"/>
    <w:rsid w:val="00FD5858"/>
    <w:rsid w:val="00FF5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75F98528-3D39-4FC9-B703-3BDFDB08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804"/>
    <w:rPr>
      <w:sz w:val="24"/>
      <w:szCs w:val="24"/>
      <w:lang w:eastAsia="en-US"/>
    </w:rPr>
  </w:style>
  <w:style w:type="paragraph" w:styleId="Heading1">
    <w:name w:val="heading 1"/>
    <w:basedOn w:val="Normal"/>
    <w:next w:val="Normal"/>
    <w:qFormat/>
    <w:rsid w:val="00D84804"/>
    <w:pPr>
      <w:keepNext/>
      <w:outlineLvl w:val="0"/>
    </w:pPr>
    <w:rPr>
      <w:sz w:val="28"/>
      <w:lang w:eastAsia="en-GB"/>
    </w:rPr>
  </w:style>
  <w:style w:type="paragraph" w:styleId="Heading2">
    <w:name w:val="heading 2"/>
    <w:basedOn w:val="Normal"/>
    <w:next w:val="Normal"/>
    <w:qFormat/>
    <w:rsid w:val="00D84804"/>
    <w:pPr>
      <w:keepNext/>
      <w:outlineLvl w:val="1"/>
    </w:pPr>
    <w:rPr>
      <w:rFonts w:ascii="Arial" w:hAnsi="Arial" w:cs="Arial"/>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84804"/>
    <w:rPr>
      <w:rFonts w:ascii="Arial" w:hAnsi="Arial" w:cs="Arial"/>
      <w:sz w:val="22"/>
    </w:rPr>
  </w:style>
  <w:style w:type="paragraph" w:styleId="Header">
    <w:name w:val="header"/>
    <w:basedOn w:val="Normal"/>
    <w:rsid w:val="00D84804"/>
    <w:pPr>
      <w:tabs>
        <w:tab w:val="center" w:pos="4153"/>
        <w:tab w:val="right" w:pos="8306"/>
      </w:tabs>
    </w:pPr>
  </w:style>
  <w:style w:type="paragraph" w:styleId="Footer">
    <w:name w:val="footer"/>
    <w:basedOn w:val="Normal"/>
    <w:rsid w:val="00D84804"/>
    <w:pPr>
      <w:tabs>
        <w:tab w:val="center" w:pos="4153"/>
        <w:tab w:val="right" w:pos="8306"/>
      </w:tabs>
    </w:pPr>
  </w:style>
  <w:style w:type="paragraph" w:styleId="ListParagraph">
    <w:name w:val="List Paragraph"/>
    <w:basedOn w:val="Normal"/>
    <w:uiPriority w:val="34"/>
    <w:qFormat/>
    <w:rsid w:val="00E07603"/>
    <w:pPr>
      <w:spacing w:after="200" w:line="276" w:lineRule="auto"/>
      <w:ind w:left="720"/>
      <w:contextualSpacing/>
    </w:pPr>
    <w:rPr>
      <w:rFonts w:asciiTheme="minorHAnsi" w:eastAsiaTheme="minorHAnsi" w:hAnsiTheme="minorHAnsi" w:cstheme="minorBidi"/>
      <w:sz w:val="22"/>
      <w:szCs w:val="22"/>
    </w:rPr>
  </w:style>
  <w:style w:type="paragraph" w:styleId="BodyTextIndent2">
    <w:name w:val="Body Text Indent 2"/>
    <w:basedOn w:val="Normal"/>
    <w:link w:val="BodyTextIndent2Char"/>
    <w:rsid w:val="004F7418"/>
    <w:pPr>
      <w:spacing w:after="120" w:line="480" w:lineRule="auto"/>
      <w:ind w:left="283"/>
    </w:pPr>
  </w:style>
  <w:style w:type="character" w:customStyle="1" w:styleId="BodyTextIndent2Char">
    <w:name w:val="Body Text Indent 2 Char"/>
    <w:basedOn w:val="DefaultParagraphFont"/>
    <w:link w:val="BodyTextIndent2"/>
    <w:rsid w:val="004F7418"/>
    <w:rPr>
      <w:sz w:val="24"/>
      <w:szCs w:val="24"/>
      <w:lang w:eastAsia="en-US"/>
    </w:rPr>
  </w:style>
  <w:style w:type="character" w:customStyle="1" w:styleId="BodyTextChar">
    <w:name w:val="Body Text Char"/>
    <w:basedOn w:val="DefaultParagraphFont"/>
    <w:link w:val="BodyText"/>
    <w:rsid w:val="00F64388"/>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891074">
      <w:bodyDiv w:val="1"/>
      <w:marLeft w:val="0"/>
      <w:marRight w:val="0"/>
      <w:marTop w:val="0"/>
      <w:marBottom w:val="0"/>
      <w:divBdr>
        <w:top w:val="none" w:sz="0" w:space="0" w:color="auto"/>
        <w:left w:val="none" w:sz="0" w:space="0" w:color="auto"/>
        <w:bottom w:val="none" w:sz="0" w:space="0" w:color="auto"/>
        <w:right w:val="none" w:sz="0" w:space="0" w:color="auto"/>
      </w:divBdr>
    </w:div>
    <w:div w:id="664357128">
      <w:bodyDiv w:val="1"/>
      <w:marLeft w:val="0"/>
      <w:marRight w:val="0"/>
      <w:marTop w:val="0"/>
      <w:marBottom w:val="0"/>
      <w:divBdr>
        <w:top w:val="none" w:sz="0" w:space="0" w:color="auto"/>
        <w:left w:val="none" w:sz="0" w:space="0" w:color="auto"/>
        <w:bottom w:val="none" w:sz="0" w:space="0" w:color="auto"/>
        <w:right w:val="none" w:sz="0" w:space="0" w:color="auto"/>
      </w:divBdr>
    </w:div>
    <w:div w:id="70529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6440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Cotswold District Council</Company>
  <LinksUpToDate>false</LinksUpToDate>
  <CharactersWithSpaces>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Della  Morris</cp:lastModifiedBy>
  <cp:revision>2</cp:revision>
  <cp:lastPrinted>2015-12-04T12:11:00Z</cp:lastPrinted>
  <dcterms:created xsi:type="dcterms:W3CDTF">2019-03-26T14:30:00Z</dcterms:created>
  <dcterms:modified xsi:type="dcterms:W3CDTF">2019-03-26T14:30:00Z</dcterms:modified>
</cp:coreProperties>
</file>